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distribute"/>
        <w:rPr>
          <w:rFonts w:ascii="方正小标宋简体" w:hAnsi="方正小标宋简体" w:eastAsia="方正小标宋简体" w:cs="方正小标宋简体"/>
          <w:b/>
          <w:bCs/>
          <w:color w:val="FF0000"/>
          <w:sz w:val="52"/>
          <w:szCs w:val="52"/>
        </w:rPr>
      </w:pPr>
      <w:r>
        <w:rPr>
          <w:rFonts w:hint="eastAsia" w:ascii="方正小标宋简体" w:hAnsi="方正小标宋简体" w:eastAsia="方正小标宋简体" w:cs="方正小标宋简体"/>
          <w:b/>
          <w:bCs/>
          <w:color w:val="FF0000"/>
          <w:sz w:val="52"/>
          <w:szCs w:val="52"/>
        </w:rPr>
        <w:t>共青团广东省委员会</w:t>
      </w:r>
    </w:p>
    <w:p>
      <w:pPr>
        <w:spacing w:line="480" w:lineRule="auto"/>
        <w:jc w:val="distribute"/>
        <w:rPr>
          <w:rFonts w:ascii="方正小标宋简体" w:hAnsi="方正小标宋简体" w:eastAsia="方正小标宋简体" w:cs="方正小标宋简体"/>
          <w:b/>
          <w:bCs/>
          <w:color w:val="FF0000"/>
          <w:sz w:val="52"/>
          <w:szCs w:val="52"/>
        </w:rPr>
      </w:pPr>
      <w:r>
        <w:rPr>
          <w:rFonts w:hint="eastAsia" w:ascii="方正小标宋简体" w:hAnsi="方正小标宋简体" w:eastAsia="方正小标宋简体" w:cs="方正小标宋简体"/>
          <w:b/>
          <w:bCs/>
          <w:color w:val="FF0000"/>
          <w:sz w:val="52"/>
          <w:szCs w:val="52"/>
        </w:rPr>
        <w:t>广东省人力资源和社会保障厅</w:t>
      </w:r>
    </w:p>
    <w:p>
      <w:pPr>
        <w:spacing w:line="480" w:lineRule="auto"/>
        <w:jc w:val="distribute"/>
        <w:rPr>
          <w:rFonts w:ascii="方正小标宋简体" w:hAnsi="方正小标宋简体" w:eastAsia="方正小标宋简体" w:cs="方正小标宋简体"/>
          <w:b/>
          <w:bCs/>
          <w:color w:val="FF0000"/>
          <w:sz w:val="52"/>
          <w:szCs w:val="52"/>
        </w:rPr>
      </w:pPr>
      <w:r>
        <w:rPr>
          <w:rFonts w:hint="eastAsia" w:ascii="方正小标宋简体" w:hAnsi="方正小标宋简体" w:eastAsia="方正小标宋简体" w:cs="方正小标宋简体"/>
          <w:b/>
          <w:bCs/>
          <w:color w:val="FF0000"/>
          <w:sz w:val="52"/>
          <w:szCs w:val="52"/>
        </w:rPr>
        <w:t>广东省教育厅</w:t>
      </w:r>
    </w:p>
    <w:p>
      <w:pPr>
        <w:spacing w:line="480" w:lineRule="auto"/>
        <w:jc w:val="distribute"/>
        <w:rPr>
          <w:rFonts w:ascii="方正小标宋简体" w:hAnsi="方正小标宋简体" w:eastAsia="方正小标宋简体" w:cs="方正小标宋简体"/>
          <w:b/>
          <w:bCs/>
          <w:color w:val="FF0000"/>
          <w:sz w:val="52"/>
          <w:szCs w:val="52"/>
        </w:rPr>
      </w:pPr>
      <w:r>
        <w:rPr>
          <w:rFonts w:hint="eastAsia" w:ascii="方正小标宋简体" w:hAnsi="方正小标宋简体" w:eastAsia="方正小标宋简体" w:cs="方正小标宋简体"/>
          <w:b/>
          <w:bCs/>
          <w:color w:val="FF0000"/>
          <w:sz w:val="52"/>
          <w:szCs w:val="52"/>
        </w:rPr>
        <w:t>广东省科学技术厅</w:t>
      </w:r>
    </w:p>
    <w:p>
      <w:pPr>
        <w:spacing w:line="480" w:lineRule="auto"/>
        <w:jc w:val="distribute"/>
        <w:rPr>
          <w:rFonts w:ascii="方正小标宋简体" w:hAnsi="方正小标宋简体" w:eastAsia="方正小标宋简体" w:cs="方正小标宋简体"/>
          <w:b/>
          <w:bCs/>
          <w:color w:val="FF0000"/>
          <w:sz w:val="52"/>
          <w:szCs w:val="52"/>
        </w:rPr>
      </w:pPr>
      <w:r>
        <w:rPr>
          <w:rFonts w:hint="eastAsia" w:ascii="方正小标宋简体" w:hAnsi="方正小标宋简体" w:eastAsia="方正小标宋简体" w:cs="方正小标宋简体"/>
          <w:b/>
          <w:bCs/>
          <w:color w:val="FF0000"/>
          <w:sz w:val="52"/>
          <w:szCs w:val="52"/>
        </w:rPr>
        <w:t>广东省</w:t>
      </w:r>
      <w:r>
        <w:rPr>
          <w:rFonts w:ascii="方正小标宋简体" w:hAnsi="方正小标宋简体" w:eastAsia="方正小标宋简体" w:cs="方正小标宋简体"/>
          <w:b/>
          <w:bCs/>
          <w:color w:val="FF0000"/>
          <w:sz w:val="52"/>
          <w:szCs w:val="52"/>
        </w:rPr>
        <w:t>科学技术协会</w:t>
      </w:r>
    </w:p>
    <w:p>
      <w:pPr>
        <w:spacing w:line="480" w:lineRule="auto"/>
        <w:jc w:val="distribute"/>
        <w:rPr>
          <w:rFonts w:ascii="方正小标宋简体" w:hAnsi="方正小标宋简体" w:eastAsia="方正小标宋简体" w:cs="方正小标宋简体"/>
          <w:b/>
          <w:bCs/>
          <w:color w:val="FF0000"/>
          <w:sz w:val="52"/>
          <w:szCs w:val="52"/>
        </w:rPr>
      </w:pPr>
      <w:r>
        <w:rPr>
          <w:rFonts w:hint="eastAsia" w:ascii="方正小标宋简体" w:hAnsi="方正小标宋简体" w:eastAsia="方正小标宋简体" w:cs="方正小标宋简体"/>
          <w:b/>
          <w:bCs/>
          <w:color w:val="FF0000"/>
          <w:sz w:val="52"/>
          <w:szCs w:val="52"/>
        </w:rPr>
        <w:t>广东省学生联合会</w:t>
      </w:r>
    </w:p>
    <w:p>
      <w:pPr>
        <w:spacing w:before="156" w:beforeLines="50" w:after="156" w:afterLines="50" w:line="480" w:lineRule="auto"/>
        <w:jc w:val="center"/>
        <w:rPr>
          <w:rFonts w:ascii="Times New Roman" w:hAnsi="Times New Roman" w:eastAsia="仿宋_GB2312" w:cs="仿宋_GB2312"/>
          <w:sz w:val="32"/>
          <w:szCs w:val="32"/>
        </w:rPr>
      </w:pPr>
      <w:r>
        <w:rPr>
          <w:rFonts w:ascii="方正仿宋_GBK" w:hAnsi="方正仿宋_GBK" w:eastAsia="方正仿宋_GBK" w:cs="方正仿宋_GBK"/>
          <w:sz w:val="32"/>
          <w:szCs w:val="32"/>
        </w:rPr>
        <mc:AlternateContent>
          <mc:Choice Requires="wps">
            <w:drawing>
              <wp:anchor distT="0" distB="0" distL="114300" distR="114300" simplePos="0" relativeHeight="251659264" behindDoc="0" locked="0" layoutInCell="1" allowOverlap="1">
                <wp:simplePos x="0" y="0"/>
                <wp:positionH relativeFrom="column">
                  <wp:posOffset>-58420</wp:posOffset>
                </wp:positionH>
                <wp:positionV relativeFrom="paragraph">
                  <wp:posOffset>495300</wp:posOffset>
                </wp:positionV>
                <wp:extent cx="5412105" cy="635"/>
                <wp:effectExtent l="8255" t="9525" r="8890" b="889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412105" cy="635"/>
                        </a:xfrm>
                        <a:prstGeom prst="line">
                          <a:avLst/>
                        </a:prstGeom>
                        <a:noFill/>
                        <a:ln w="9525">
                          <a:solidFill>
                            <a:srgbClr val="FF0000"/>
                          </a:solidFill>
                          <a:round/>
                        </a:ln>
                      </wps:spPr>
                      <wps:bodyPr/>
                    </wps:wsp>
                  </a:graphicData>
                </a:graphic>
              </wp:anchor>
            </w:drawing>
          </mc:Choice>
          <mc:Fallback>
            <w:pict>
              <v:line id="_x0000_s1026" o:spid="_x0000_s1026" o:spt="20" style="position:absolute;left:0pt;margin-left:-4.6pt;margin-top:39pt;height:0.05pt;width:426.15pt;z-index:251659264;mso-width-relative:page;mso-height-relative:page;" filled="f" stroked="t" coordsize="21600,21600" o:gfxdata="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XbtyfXAAAACAEAAA8AAAAAAAAAAQAgAAAAIgAAAGRy&#10;cy9kb3ducmV2LnhtbFBLAQIUABQAAAAIAIdO4kBIle3BzQEAAF4DAAAOAAAAAAAAAAEAIAAAACYB&#10;AABkcnMvZTJvRG9jLnhtbFBLBQYAAAAABgAGAFkBAABlBQAAAAA=&#10;">
                <v:fill on="f" focussize="0,0"/>
                <v:stroke color="#FF0000" joinstyle="round"/>
                <v:imagedata o:title=""/>
                <o:lock v:ext="edit" aspectratio="f"/>
              </v:line>
            </w:pict>
          </mc:Fallback>
        </mc:AlternateContent>
      </w:r>
      <w:r>
        <w:rPr>
          <w:rFonts w:hint="eastAsia" w:ascii="方正仿宋_GBK" w:hAnsi="方正仿宋_GBK" w:eastAsia="方正仿宋_GBK" w:cs="方正仿宋_GBK"/>
          <w:sz w:val="32"/>
          <w:szCs w:val="32"/>
        </w:rPr>
        <w:t>团粤联发〔2018〕</w:t>
      </w:r>
      <w:r>
        <w:rPr>
          <w:rFonts w:hint="eastAsia" w:ascii="方正仿宋_GBK" w:hAnsi="方正仿宋_GBK" w:eastAsia="方正仿宋_GBK" w:cs="方正仿宋_GBK"/>
          <w:sz w:val="32"/>
          <w:szCs w:val="32"/>
          <w:lang w:val="en-US" w:eastAsia="zh-CN"/>
        </w:rPr>
        <w:t>16</w:t>
      </w:r>
      <w:r>
        <w:rPr>
          <w:rFonts w:hint="eastAsia" w:ascii="方正仿宋_GBK" w:hAnsi="方正仿宋_GBK" w:eastAsia="方正仿宋_GBK" w:cs="方正仿宋_GBK"/>
          <w:sz w:val="32"/>
          <w:szCs w:val="32"/>
        </w:rPr>
        <w:t>号</w:t>
      </w:r>
    </w:p>
    <w:p>
      <w:pPr>
        <w:spacing w:line="600" w:lineRule="exact"/>
        <w:jc w:val="center"/>
        <w:rPr>
          <w:rFonts w:ascii="Times New Roman" w:hAnsi="Times New Roman" w:eastAsia="方正小标宋简体" w:cs="方正小标宋简体"/>
          <w:sz w:val="44"/>
          <w:szCs w:val="44"/>
        </w:rPr>
      </w:pPr>
    </w:p>
    <w:p>
      <w:pPr>
        <w:spacing w:line="720" w:lineRule="exact"/>
        <w:jc w:val="center"/>
        <w:rPr>
          <w:rFonts w:ascii="方正小标宋简体" w:hAnsi="宋体" w:eastAsia="方正小标宋简体"/>
          <w:spacing w:val="-8"/>
          <w:sz w:val="44"/>
          <w:szCs w:val="44"/>
        </w:rPr>
      </w:pPr>
      <w:r>
        <w:rPr>
          <w:rFonts w:hint="eastAsia" w:ascii="方正小标宋简体" w:hAnsi="宋体" w:eastAsia="方正小标宋简体" w:cs="方正小标宋简体"/>
          <w:sz w:val="44"/>
          <w:szCs w:val="44"/>
        </w:rPr>
        <w:t>关于组织开展2018年</w:t>
      </w:r>
      <w:r>
        <w:rPr>
          <w:rFonts w:hint="eastAsia" w:ascii="方正小标宋简体" w:hAnsi="宋体" w:eastAsia="方正小标宋简体"/>
          <w:spacing w:val="-8"/>
          <w:sz w:val="44"/>
          <w:szCs w:val="44"/>
        </w:rPr>
        <w:t>“挑战杯·创青春”</w:t>
      </w:r>
    </w:p>
    <w:p>
      <w:pPr>
        <w:spacing w:line="720" w:lineRule="exact"/>
        <w:jc w:val="center"/>
        <w:rPr>
          <w:rFonts w:ascii="方正小标宋简体" w:eastAsia="方正小标宋简体" w:cs="方正小标宋简体"/>
          <w:sz w:val="44"/>
          <w:szCs w:val="44"/>
        </w:rPr>
      </w:pPr>
      <w:r>
        <w:rPr>
          <w:rFonts w:hint="eastAsia" w:ascii="方正小标宋简体" w:hAnsi="宋体" w:eastAsia="方正小标宋简体" w:cs="方正小标宋简体"/>
          <w:sz w:val="44"/>
          <w:szCs w:val="44"/>
        </w:rPr>
        <w:t xml:space="preserve">广东大学生创业大赛的通知 </w:t>
      </w:r>
    </w:p>
    <w:p>
      <w:pPr>
        <w:spacing w:line="560" w:lineRule="exact"/>
        <w:ind w:firstLine="640" w:firstLineChars="200"/>
        <w:rPr>
          <w:rFonts w:ascii="Times New Roman" w:hAnsi="Times New Roman" w:eastAsia="仿宋_GB2312" w:cs="仿宋_GB2312"/>
          <w:sz w:val="32"/>
          <w:szCs w:val="32"/>
        </w:rPr>
      </w:pPr>
    </w:p>
    <w:p>
      <w:pPr>
        <w:spacing w:line="5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各地级以上市团委、人力资源</w:t>
      </w:r>
      <w:r>
        <w:rPr>
          <w:rFonts w:ascii="方正仿宋_GBK" w:hAnsi="方正仿宋_GBK" w:eastAsia="方正仿宋_GBK" w:cs="方正仿宋_GBK"/>
          <w:sz w:val="32"/>
          <w:szCs w:val="32"/>
        </w:rPr>
        <w:t>和社会保障</w:t>
      </w:r>
      <w:r>
        <w:rPr>
          <w:rFonts w:hint="eastAsia" w:ascii="方正仿宋_GBK" w:hAnsi="方正仿宋_GBK" w:eastAsia="方正仿宋_GBK" w:cs="方正仿宋_GBK"/>
          <w:sz w:val="32"/>
          <w:szCs w:val="32"/>
        </w:rPr>
        <w:t>（人力资源</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局、教育局、科技局（委）、科协、学联，各普通高校：</w:t>
      </w:r>
    </w:p>
    <w:p>
      <w:pPr>
        <w:spacing w:line="540" w:lineRule="exact"/>
        <w:ind w:firstLine="640" w:firstLineChars="200"/>
        <w:rPr>
          <w:rFonts w:ascii="方正仿宋_GBK" w:hAnsi="Times New Roman" w:eastAsia="方正仿宋_GBK" w:cs="仿宋_GB2312"/>
          <w:sz w:val="32"/>
          <w:szCs w:val="32"/>
        </w:rPr>
      </w:pPr>
      <w:r>
        <w:rPr>
          <w:rFonts w:hint="eastAsia" w:ascii="方正仿宋_GBK" w:hAnsi="Times New Roman" w:eastAsia="方正仿宋_GBK" w:cs="仿宋_GB2312"/>
          <w:sz w:val="32"/>
          <w:szCs w:val="32"/>
        </w:rPr>
        <w:t>为深入学习贯彻习近平新时代中国特色社会主义思想和党的十九大精神，</w:t>
      </w:r>
      <w:r>
        <w:rPr>
          <w:rFonts w:hint="eastAsia" w:ascii="方正仿宋_GBK" w:hAnsi="方正仿宋_GBK" w:eastAsia="方正仿宋_GBK" w:cs="方正仿宋_GBK"/>
          <w:sz w:val="32"/>
          <w:szCs w:val="32"/>
        </w:rPr>
        <w:t>落实省委、省政府实施创新驱动发展战略的部署安排，助力广东产业转型升级和经济社会发展，</w:t>
      </w:r>
      <w:r>
        <w:rPr>
          <w:rFonts w:hint="eastAsia" w:ascii="方正仿宋_GBK" w:hAnsi="Times New Roman" w:eastAsia="方正仿宋_GBK" w:cs="仿宋_GB2312"/>
          <w:sz w:val="32"/>
          <w:szCs w:val="32"/>
        </w:rPr>
        <w:t>团省委、省人社厅、省教育厅、省科技厅、省科协、省学联拟共同举办2018年“挑战杯·创青春”广东大学生创业大赛。现将有关事项通知如下：</w:t>
      </w:r>
    </w:p>
    <w:p>
      <w:pPr>
        <w:spacing w:line="540" w:lineRule="exact"/>
        <w:ind w:firstLine="640" w:firstLineChars="200"/>
        <w:rPr>
          <w:rFonts w:ascii="方正黑体_GBK" w:hAnsi="华文黑体" w:eastAsia="方正黑体_GBK" w:cs="华文黑体"/>
          <w:sz w:val="32"/>
          <w:szCs w:val="32"/>
        </w:rPr>
      </w:pPr>
      <w:r>
        <w:rPr>
          <w:rFonts w:hint="eastAsia" w:ascii="方正黑体_GBK" w:hAnsi="华文黑体" w:eastAsia="方正黑体_GBK" w:cs="华文黑体"/>
          <w:sz w:val="32"/>
          <w:szCs w:val="32"/>
        </w:rPr>
        <w:t>一、活动时间</w:t>
      </w:r>
    </w:p>
    <w:p>
      <w:pPr>
        <w:spacing w:line="540" w:lineRule="exact"/>
        <w:ind w:firstLine="640" w:firstLineChars="200"/>
        <w:rPr>
          <w:rFonts w:ascii="方正仿宋_GBK" w:hAnsi="Times New Roman" w:eastAsia="方正仿宋_GBK" w:cs="仿宋_GB2312"/>
          <w:sz w:val="32"/>
          <w:szCs w:val="32"/>
        </w:rPr>
      </w:pPr>
      <w:r>
        <w:rPr>
          <w:rFonts w:hint="eastAsia" w:ascii="方正仿宋_GBK" w:hAnsi="Times New Roman" w:eastAsia="方正仿宋_GBK" w:cs="仿宋_GB2312"/>
          <w:sz w:val="32"/>
          <w:szCs w:val="32"/>
        </w:rPr>
        <w:t>2018年3月至5月</w:t>
      </w:r>
    </w:p>
    <w:p>
      <w:pPr>
        <w:spacing w:line="540" w:lineRule="exact"/>
        <w:ind w:firstLine="640" w:firstLineChars="200"/>
        <w:rPr>
          <w:rFonts w:ascii="方正黑体_GBK" w:hAnsi="Times New Roman" w:eastAsia="方正黑体_GBK" w:cs="黑体"/>
          <w:sz w:val="32"/>
          <w:szCs w:val="32"/>
        </w:rPr>
      </w:pPr>
      <w:r>
        <w:rPr>
          <w:rFonts w:hint="eastAsia" w:ascii="方正黑体_GBK" w:hAnsi="Times New Roman" w:eastAsia="方正黑体_GBK" w:cs="黑体"/>
          <w:sz w:val="32"/>
          <w:szCs w:val="32"/>
        </w:rPr>
        <w:t>二、主、承办单位</w:t>
      </w:r>
    </w:p>
    <w:p>
      <w:pPr>
        <w:spacing w:line="540" w:lineRule="exact"/>
        <w:ind w:firstLine="643" w:firstLineChars="200"/>
        <w:rPr>
          <w:rFonts w:ascii="方正仿宋_GBK" w:hAnsi="Times New Roman" w:eastAsia="方正仿宋_GBK" w:cs="仿宋_GB2312"/>
          <w:sz w:val="32"/>
          <w:szCs w:val="32"/>
        </w:rPr>
      </w:pPr>
      <w:r>
        <w:rPr>
          <w:rFonts w:hint="eastAsia" w:ascii="方正仿宋_GBK" w:hAnsi="Times New Roman" w:eastAsia="方正仿宋_GBK" w:cs="仿宋_GB2312"/>
          <w:b/>
          <w:bCs/>
          <w:sz w:val="32"/>
          <w:szCs w:val="32"/>
        </w:rPr>
        <w:t>主办单位：</w:t>
      </w:r>
      <w:r>
        <w:rPr>
          <w:rFonts w:hint="eastAsia" w:ascii="方正仿宋_GBK" w:hAnsi="Times New Roman" w:eastAsia="方正仿宋_GBK" w:cs="仿宋_GB2312"/>
          <w:sz w:val="32"/>
          <w:szCs w:val="32"/>
        </w:rPr>
        <w:t>共青团广东省委员会、广东省人力资源和社会保障厅、广东省教育厅、广东省科学技术厅、广东省科学技术协会、广东省学生联合会</w:t>
      </w:r>
    </w:p>
    <w:p>
      <w:pPr>
        <w:spacing w:line="540" w:lineRule="exact"/>
        <w:ind w:firstLine="643" w:firstLineChars="200"/>
        <w:rPr>
          <w:rFonts w:ascii="方正仿宋_GBK" w:hAnsi="Times New Roman" w:eastAsia="方正仿宋_GBK" w:cs="仿宋_GB2312"/>
          <w:sz w:val="32"/>
          <w:szCs w:val="32"/>
        </w:rPr>
      </w:pPr>
      <w:r>
        <w:rPr>
          <w:rFonts w:hint="eastAsia" w:ascii="方正仿宋_GBK" w:hAnsi="Times New Roman" w:eastAsia="方正仿宋_GBK" w:cs="仿宋_GB2312"/>
          <w:b/>
          <w:bCs/>
          <w:sz w:val="32"/>
          <w:szCs w:val="32"/>
        </w:rPr>
        <w:t>承办单位：</w:t>
      </w:r>
      <w:r>
        <w:rPr>
          <w:rFonts w:hint="eastAsia" w:ascii="方正仿宋_GBK" w:hAnsi="Times New Roman" w:eastAsia="方正仿宋_GBK" w:cs="仿宋_GB2312"/>
          <w:sz w:val="32"/>
          <w:szCs w:val="32"/>
        </w:rPr>
        <w:t>华南理工大学</w:t>
      </w:r>
    </w:p>
    <w:p>
      <w:pPr>
        <w:spacing w:line="540" w:lineRule="exact"/>
        <w:ind w:firstLine="640" w:firstLineChars="200"/>
        <w:rPr>
          <w:rFonts w:ascii="方正黑体_GBK" w:hAnsi="Times New Roman" w:eastAsia="方正黑体_GBK" w:cs="黑体"/>
          <w:sz w:val="32"/>
          <w:szCs w:val="32"/>
        </w:rPr>
      </w:pPr>
      <w:r>
        <w:rPr>
          <w:rFonts w:hint="eastAsia" w:ascii="方正黑体_GBK" w:hAnsi="Times New Roman" w:eastAsia="方正黑体_GBK" w:cs="黑体"/>
          <w:sz w:val="32"/>
          <w:szCs w:val="32"/>
        </w:rPr>
        <w:t>三、组织机构</w:t>
      </w:r>
    </w:p>
    <w:p>
      <w:pPr>
        <w:adjustRightInd w:val="0"/>
        <w:snapToGrid w:val="0"/>
        <w:spacing w:line="540" w:lineRule="exact"/>
        <w:ind w:firstLine="640" w:firstLineChars="200"/>
        <w:rPr>
          <w:rFonts w:ascii="方正仿宋_GBK" w:hAnsi="Times New Roman" w:eastAsia="方正仿宋_GBK" w:cs="仿宋_GB2312"/>
          <w:sz w:val="32"/>
          <w:szCs w:val="32"/>
        </w:rPr>
      </w:pPr>
      <w:r>
        <w:rPr>
          <w:rFonts w:hint="eastAsia" w:ascii="方正仿宋_GBK" w:hAnsi="Times New Roman" w:eastAsia="方正仿宋_GBK" w:cs="仿宋_GB2312"/>
          <w:sz w:val="32"/>
          <w:szCs w:val="32"/>
        </w:rPr>
        <w:t>竞赛设立组委会，由主办、承办等单位的有关负责人组成，负责竞赛组织领导工作。组委会下设办公室，设在团省委学校部和承办高校团委，负责竞赛日常事务。“挑战杯</w:t>
      </w:r>
      <w:r>
        <w:rPr>
          <w:rFonts w:hint="eastAsia" w:ascii="宋体" w:hAnsi="宋体" w:cs="宋体"/>
          <w:sz w:val="32"/>
          <w:szCs w:val="32"/>
        </w:rPr>
        <w:t>•</w:t>
      </w:r>
      <w:r>
        <w:rPr>
          <w:rFonts w:hint="eastAsia" w:ascii="方正仿宋_GBK" w:hAnsi="方正仿宋_GBK" w:eastAsia="方正仿宋_GBK" w:cs="方正仿宋_GBK"/>
          <w:sz w:val="32"/>
          <w:szCs w:val="32"/>
        </w:rPr>
        <w:t>创青春”</w:t>
      </w:r>
      <w:r>
        <w:rPr>
          <w:rFonts w:hint="eastAsia" w:ascii="方正仿宋_GBK" w:hAnsi="Times New Roman" w:eastAsia="方正仿宋_GBK" w:cs="仿宋_GB2312"/>
          <w:sz w:val="32"/>
          <w:szCs w:val="32"/>
        </w:rPr>
        <w:t>广东大学生创业大赛同时作为“创青春”广东青年创新创业大赛的高校组赛事。</w:t>
      </w:r>
    </w:p>
    <w:p>
      <w:pPr>
        <w:spacing w:line="540" w:lineRule="exact"/>
        <w:ind w:firstLine="640" w:firstLineChars="200"/>
        <w:rPr>
          <w:rFonts w:ascii="方正仿宋_GBK" w:hAnsi="Times New Roman" w:eastAsia="方正仿宋_GBK" w:cs="仿宋_GB2312"/>
          <w:sz w:val="32"/>
          <w:szCs w:val="32"/>
        </w:rPr>
      </w:pPr>
      <w:r>
        <w:rPr>
          <w:rFonts w:hint="eastAsia" w:ascii="方正仿宋_GBK" w:hAnsi="Times New Roman" w:eastAsia="方正仿宋_GBK" w:cs="仿宋_GB2312"/>
          <w:sz w:val="32"/>
          <w:szCs w:val="32"/>
        </w:rPr>
        <w:t>竞赛设立评委会，由组委会聘请各相关领域的专家、学者、企业家、风险投资界人士、青年创业典型等组成，负责参赛作品的评审工作。</w:t>
      </w:r>
    </w:p>
    <w:p>
      <w:pPr>
        <w:spacing w:line="540" w:lineRule="exact"/>
        <w:ind w:firstLine="640" w:firstLineChars="200"/>
        <w:rPr>
          <w:rFonts w:ascii="方正仿宋_GBK" w:hAnsi="Times New Roman" w:eastAsia="方正仿宋_GBK" w:cs="仿宋_GB2312"/>
          <w:sz w:val="32"/>
          <w:szCs w:val="32"/>
        </w:rPr>
      </w:pPr>
      <w:r>
        <w:rPr>
          <w:rFonts w:hint="eastAsia" w:ascii="方正仿宋_GBK" w:hAnsi="Times New Roman" w:eastAsia="方正仿宋_GBK" w:cs="仿宋_GB2312"/>
          <w:sz w:val="32"/>
          <w:szCs w:val="32"/>
        </w:rPr>
        <w:t>各高校要成立相应机构，负责本校预赛的组织领导、评审等工作。</w:t>
      </w:r>
    </w:p>
    <w:p>
      <w:pPr>
        <w:spacing w:line="540" w:lineRule="exact"/>
        <w:ind w:firstLine="640" w:firstLineChars="200"/>
        <w:rPr>
          <w:rFonts w:ascii="方正黑体_GBK" w:hAnsi="Times New Roman" w:eastAsia="方正黑体_GBK" w:cs="黑体"/>
          <w:sz w:val="32"/>
          <w:szCs w:val="32"/>
        </w:rPr>
      </w:pPr>
      <w:r>
        <w:rPr>
          <w:rFonts w:hint="eastAsia" w:ascii="方正黑体_GBK" w:hAnsi="Times New Roman" w:eastAsia="方正黑体_GBK" w:cs="黑体"/>
          <w:sz w:val="32"/>
          <w:szCs w:val="32"/>
        </w:rPr>
        <w:t>四、大赛内容</w:t>
      </w:r>
    </w:p>
    <w:p>
      <w:pPr>
        <w:spacing w:line="540" w:lineRule="exact"/>
        <w:ind w:firstLine="640" w:firstLineChars="200"/>
        <w:rPr>
          <w:rFonts w:ascii="方正仿宋_GBK" w:hAnsi="Times New Roman" w:eastAsia="方正仿宋_GBK" w:cs="仿宋_GB2312"/>
          <w:sz w:val="32"/>
          <w:szCs w:val="32"/>
        </w:rPr>
      </w:pPr>
      <w:r>
        <w:rPr>
          <w:rFonts w:hint="eastAsia" w:ascii="方正仿宋_GBK" w:hAnsi="Times New Roman" w:eastAsia="方正仿宋_GBK" w:cs="仿宋_GB2312"/>
          <w:sz w:val="32"/>
          <w:szCs w:val="32"/>
        </w:rPr>
        <w:t>大赛下设3项主体赛事：大学生创业计划竞赛、创业实践挑战赛、公益创业赛。</w:t>
      </w:r>
    </w:p>
    <w:p>
      <w:pPr>
        <w:spacing w:line="540" w:lineRule="exact"/>
        <w:ind w:firstLine="640" w:firstLineChars="200"/>
        <w:rPr>
          <w:rFonts w:ascii="方正仿宋_GBK" w:hAnsi="Times New Roman" w:eastAsia="方正仿宋_GBK" w:cs="仿宋_GB2312"/>
          <w:sz w:val="32"/>
          <w:szCs w:val="32"/>
        </w:rPr>
      </w:pPr>
      <w:r>
        <w:rPr>
          <w:rFonts w:hint="eastAsia" w:ascii="方正仿宋_GBK" w:hAnsi="Times New Roman" w:eastAsia="方正仿宋_GBK" w:cs="仿宋_GB2312"/>
          <w:sz w:val="32"/>
          <w:szCs w:val="32"/>
        </w:rPr>
        <w:t>大学生创业计划竞赛面向高等学校在校学生，以商业计划书评审、现场答辩等作为参赛项目的主要评价内容。</w:t>
      </w:r>
    </w:p>
    <w:p>
      <w:pPr>
        <w:spacing w:line="540" w:lineRule="exact"/>
        <w:ind w:firstLine="640" w:firstLineChars="200"/>
        <w:rPr>
          <w:rFonts w:ascii="方正仿宋_GBK" w:hAnsi="Times New Roman" w:eastAsia="方正仿宋_GBK" w:cs="仿宋_GB2312"/>
          <w:sz w:val="32"/>
          <w:szCs w:val="32"/>
        </w:rPr>
      </w:pPr>
      <w:r>
        <w:rPr>
          <w:rFonts w:hint="eastAsia" w:ascii="方正仿宋_GBK" w:hAnsi="Times New Roman" w:eastAsia="方正仿宋_GBK" w:cs="仿宋_GB2312"/>
          <w:sz w:val="32"/>
          <w:szCs w:val="32"/>
        </w:rPr>
        <w:t>创业实践挑战赛面向高等学校在校学生或毕业未满3年的高校毕业生，且已投入实际创业3个月以上，以经营状况、发展前景等作为参赛项目的主要评价内容。</w:t>
      </w:r>
    </w:p>
    <w:p>
      <w:pPr>
        <w:spacing w:line="540" w:lineRule="exact"/>
        <w:ind w:firstLine="640" w:firstLineChars="200"/>
        <w:rPr>
          <w:rFonts w:ascii="方正仿宋_GBK" w:hAnsi="Times New Roman" w:eastAsia="方正仿宋_GBK" w:cs="仿宋_GB2312"/>
          <w:sz w:val="32"/>
          <w:szCs w:val="32"/>
        </w:rPr>
      </w:pPr>
      <w:r>
        <w:rPr>
          <w:rFonts w:hint="eastAsia" w:ascii="方正仿宋_GBK" w:hAnsi="Times New Roman" w:eastAsia="方正仿宋_GBK" w:cs="仿宋_GB2312"/>
          <w:sz w:val="32"/>
          <w:szCs w:val="32"/>
        </w:rPr>
        <w:t>公益创业赛面向高等学校在校学生，以创办非盈利性质社会组织的计划和实践等作为参赛项目的主要评价内容。</w:t>
      </w:r>
    </w:p>
    <w:p>
      <w:pPr>
        <w:spacing w:line="540" w:lineRule="exact"/>
        <w:ind w:firstLine="640" w:firstLineChars="200"/>
        <w:rPr>
          <w:rFonts w:ascii="方正仿宋_GBK" w:hAnsi="Times New Roman" w:eastAsia="方正仿宋_GBK" w:cs="仿宋_GB2312"/>
          <w:sz w:val="32"/>
          <w:szCs w:val="32"/>
        </w:rPr>
      </w:pPr>
      <w:r>
        <w:rPr>
          <w:rFonts w:hint="eastAsia" w:ascii="方正仿宋_GBK" w:hAnsi="Times New Roman" w:eastAsia="方正仿宋_GBK" w:cs="仿宋_GB2312"/>
          <w:sz w:val="32"/>
          <w:szCs w:val="32"/>
        </w:rPr>
        <w:t>以上3项主体赛事需通过组织校级预赛进行选拔报送。项目申报标准等详见大赛章程(附件1)。</w:t>
      </w:r>
    </w:p>
    <w:p>
      <w:pPr>
        <w:spacing w:line="540" w:lineRule="exact"/>
        <w:ind w:firstLine="640" w:firstLineChars="200"/>
        <w:rPr>
          <w:rFonts w:ascii="方正黑体_GBK" w:hAnsi="Times New Roman" w:eastAsia="方正黑体_GBK" w:cs="黑体"/>
          <w:sz w:val="32"/>
          <w:szCs w:val="32"/>
        </w:rPr>
      </w:pPr>
      <w:r>
        <w:rPr>
          <w:rFonts w:hint="eastAsia" w:ascii="方正黑体_GBK" w:hAnsi="Times New Roman" w:eastAsia="方正黑体_GBK" w:cs="黑体"/>
          <w:sz w:val="32"/>
          <w:szCs w:val="32"/>
        </w:rPr>
        <w:t>五、参赛对象</w:t>
      </w:r>
    </w:p>
    <w:p>
      <w:pPr>
        <w:spacing w:line="540" w:lineRule="exact"/>
        <w:ind w:firstLine="640" w:firstLineChars="200"/>
        <w:rPr>
          <w:rFonts w:ascii="方正仿宋_GBK" w:eastAsia="方正仿宋_GBK"/>
          <w:kern w:val="32"/>
          <w:sz w:val="32"/>
          <w:szCs w:val="32"/>
        </w:rPr>
      </w:pPr>
      <w:r>
        <w:rPr>
          <w:rFonts w:hint="eastAsia" w:ascii="方正仿宋_GBK" w:eastAsia="方正仿宋_GBK"/>
          <w:kern w:val="32"/>
          <w:sz w:val="32"/>
          <w:szCs w:val="32"/>
        </w:rPr>
        <w:t>凡在举办大赛终审决赛的当年7月1日以前正式注册的普通高等学历教育的高等学校在校专科生、本科生、硕士研究生和博士研究生（均不含在职研究生）可参加全部3项主体赛事；毕业3年以内（时间截至举办大赛终审决赛的当年7月1日）的专科生、本科生、硕士研究生和博士研究生可代表原所在高校参加创业实践挑战赛（需提供毕业证证明，仅可代表最终学历颁发高校参赛）。</w:t>
      </w:r>
    </w:p>
    <w:p>
      <w:pPr>
        <w:spacing w:line="540" w:lineRule="exact"/>
        <w:ind w:firstLine="640" w:firstLineChars="200"/>
        <w:rPr>
          <w:rFonts w:ascii="方正黑体_GBK" w:hAnsi="Times New Roman" w:eastAsia="方正黑体_GBK" w:cs="黑体"/>
          <w:sz w:val="32"/>
          <w:szCs w:val="32"/>
        </w:rPr>
      </w:pPr>
      <w:r>
        <w:rPr>
          <w:rFonts w:hint="eastAsia" w:ascii="方正黑体_GBK" w:hAnsi="Times New Roman" w:eastAsia="方正黑体_GBK" w:cs="黑体"/>
          <w:sz w:val="32"/>
          <w:szCs w:val="32"/>
        </w:rPr>
        <w:t>六、推进步骤</w:t>
      </w:r>
    </w:p>
    <w:p>
      <w:pPr>
        <w:spacing w:line="540" w:lineRule="exact"/>
        <w:ind w:firstLine="640" w:firstLineChars="200"/>
        <w:rPr>
          <w:rFonts w:ascii="方正仿宋_GBK" w:hAnsi="Times New Roman" w:eastAsia="方正仿宋_GBK" w:cs="仿宋_GB2312"/>
          <w:sz w:val="32"/>
          <w:szCs w:val="32"/>
        </w:rPr>
      </w:pPr>
      <w:r>
        <w:rPr>
          <w:rFonts w:hint="eastAsia" w:ascii="方正仿宋_GBK" w:hAnsi="Times New Roman" w:eastAsia="方正仿宋_GBK" w:cs="仿宋_GB2312"/>
          <w:sz w:val="32"/>
          <w:szCs w:val="32"/>
        </w:rPr>
        <w:t>本届竞赛分预赛、复赛和决赛三个阶段进行。</w:t>
      </w:r>
    </w:p>
    <w:p>
      <w:pPr>
        <w:spacing w:line="540" w:lineRule="exact"/>
        <w:ind w:firstLine="640" w:firstLineChars="200"/>
        <w:rPr>
          <w:rFonts w:ascii="方正仿宋_GBK" w:hAnsi="Times New Roman" w:eastAsia="方正仿宋_GBK" w:cs="仿宋_GB2312"/>
          <w:sz w:val="32"/>
          <w:szCs w:val="32"/>
        </w:rPr>
      </w:pPr>
      <w:r>
        <w:rPr>
          <w:rFonts w:hint="eastAsia" w:ascii="方正仿宋_GBK" w:hAnsi="Times New Roman" w:eastAsia="方正仿宋_GBK" w:cs="仿宋_GB2312"/>
          <w:sz w:val="32"/>
          <w:szCs w:val="32"/>
        </w:rPr>
        <w:t>（一）3月18日前，各高校针对大赛下设的3项主体赛事组织本校预赛。其中，大学生创业计划竞赛实行项目分类申报，即分为已创业与未创业两类。各高校在推报复赛项目时，两类项目的比例不作限制。竞赛评委会将在复赛、决赛阶段，针对两类项目实行相同的评审规则；计算总分时，将视已创业项目实际运营情况，在实得总分基础上视情给予1%至5%的加分。</w:t>
      </w:r>
    </w:p>
    <w:p>
      <w:pPr>
        <w:spacing w:line="540" w:lineRule="exact"/>
        <w:ind w:firstLine="640" w:firstLineChars="200"/>
        <w:rPr>
          <w:rFonts w:ascii="方正仿宋_GBK" w:hAnsi="Times New Roman" w:eastAsia="方正仿宋_GBK" w:cs="仿宋_GB2312"/>
          <w:sz w:val="32"/>
          <w:szCs w:val="32"/>
        </w:rPr>
      </w:pPr>
      <w:r>
        <w:rPr>
          <w:rFonts w:hint="eastAsia" w:ascii="方正仿宋_GBK" w:hAnsi="Times New Roman" w:eastAsia="方正仿宋_GBK" w:cs="仿宋_GB2312"/>
          <w:sz w:val="32"/>
          <w:szCs w:val="32"/>
        </w:rPr>
        <w:t>（二）3月27日前，各高校汇总经预赛产生的参加复赛项目，对项目申报表及相关材料的填写情况进行把关，通过系统填报参赛作品信息，并将纸质版（盖校团章）寄送至竞赛组委会办公室（华南理工大学团委），并推荐其中优秀项目（企业）到“中国青创板”挂牌。在3项主体赛事中，竞赛组委会不接受个人申报。报送要求如下：</w:t>
      </w:r>
    </w:p>
    <w:p>
      <w:pPr>
        <w:spacing w:line="540" w:lineRule="exact"/>
        <w:ind w:firstLine="640" w:firstLineChars="200"/>
        <w:rPr>
          <w:rFonts w:ascii="方正仿宋_GBK" w:hAnsi="Times New Roman" w:eastAsia="方正仿宋_GBK" w:cs="仿宋_GB2312"/>
          <w:sz w:val="32"/>
          <w:szCs w:val="32"/>
        </w:rPr>
      </w:pPr>
      <w:r>
        <w:rPr>
          <w:rFonts w:hint="eastAsia" w:ascii="方正仿宋_GBK" w:hAnsi="Times New Roman" w:eastAsia="方正仿宋_GBK" w:cs="仿宋_GB2312"/>
          <w:sz w:val="32"/>
          <w:szCs w:val="32"/>
        </w:rPr>
        <w:t>各校申报作品分配数额详见附件2，各高校务必按数额报送作品，不得多报，每个团队或个人只能申报1件作品，如团队或个人多报作品，将取消该团队或该个人所在团队的全部参赛资格。各高校要将报送参加全省复赛的《作品申报表》（见参赛作品申报系统）、商业计划书和《作品汇总表》（见参赛作品申报系统）盖校团委章后，分别以电子版（PDF）和纸质版两种方式报送至组委会办公室（华南理工大学团委）。其中，纸质版要求一式四份，封面采用230克A4纸，正文采用70克A4纸，《作品申报表》和《商业计划书》合在一起装订，《作品申报表》在前，《商业计划书》在后。“中国青创板”挂牌申报材料要求详见附件3。</w:t>
      </w:r>
    </w:p>
    <w:p>
      <w:pPr>
        <w:spacing w:line="540" w:lineRule="exact"/>
        <w:ind w:firstLine="640" w:firstLineChars="200"/>
        <w:rPr>
          <w:rFonts w:ascii="方正仿宋_GBK" w:hAnsi="Times New Roman" w:eastAsia="方正仿宋_GBK" w:cs="仿宋_GB2312"/>
          <w:sz w:val="32"/>
          <w:szCs w:val="32"/>
        </w:rPr>
      </w:pPr>
      <w:r>
        <w:rPr>
          <w:rFonts w:hint="eastAsia" w:ascii="方正仿宋_GBK" w:hAnsi="Times New Roman" w:eastAsia="方正仿宋_GBK" w:cs="仿宋_GB2312"/>
          <w:sz w:val="32"/>
          <w:szCs w:val="32"/>
        </w:rPr>
        <w:t>（三）4月上旬前，对各高校上报作品进行资格审核和预审。</w:t>
      </w:r>
    </w:p>
    <w:p>
      <w:pPr>
        <w:spacing w:line="540" w:lineRule="exact"/>
        <w:ind w:firstLine="640" w:firstLineChars="200"/>
        <w:rPr>
          <w:rFonts w:ascii="方正仿宋_GBK" w:hAnsi="Times New Roman" w:eastAsia="方正仿宋_GBK" w:cs="仿宋_GB2312"/>
          <w:sz w:val="32"/>
          <w:szCs w:val="32"/>
        </w:rPr>
      </w:pPr>
      <w:r>
        <w:rPr>
          <w:rFonts w:hint="eastAsia" w:ascii="方正仿宋_GBK" w:hAnsi="Times New Roman" w:eastAsia="方正仿宋_GBK" w:cs="仿宋_GB2312"/>
          <w:sz w:val="32"/>
          <w:szCs w:val="32"/>
        </w:rPr>
        <w:t>（四）4月中下旬，组织全省复赛评审，确定拟授铜奖作品和进入决赛现场评比作品，汇编优秀作品简介。</w:t>
      </w:r>
    </w:p>
    <w:p>
      <w:pPr>
        <w:adjustRightInd w:val="0"/>
        <w:snapToGrid w:val="0"/>
        <w:spacing w:line="540" w:lineRule="exact"/>
        <w:ind w:firstLine="640" w:firstLineChars="200"/>
        <w:rPr>
          <w:rFonts w:ascii="方正仿宋_GBK" w:hAnsi="Times New Roman" w:eastAsia="方正仿宋_GBK" w:cs="仿宋_GB2312"/>
          <w:sz w:val="32"/>
          <w:szCs w:val="32"/>
        </w:rPr>
      </w:pPr>
      <w:r>
        <w:rPr>
          <w:rFonts w:hint="eastAsia" w:ascii="方正仿宋_GBK" w:hAnsi="Times New Roman" w:eastAsia="方正仿宋_GBK" w:cs="仿宋_GB2312"/>
          <w:sz w:val="32"/>
          <w:szCs w:val="32"/>
        </w:rPr>
        <w:t>（五）5月中下旬，举行全省决赛，评委会将通过书面评审、答辩等环节，评出若干金奖、银奖、铜奖作品。决赛期间，组织优秀项目（企业）与创业孵化平台和投融资机构对接，鼓励创新创业成果落地孵化。决赛后，优胜项目将由主办方推荐参加“创青春”广东青年创新创业大赛复赛。</w:t>
      </w:r>
    </w:p>
    <w:p>
      <w:pPr>
        <w:adjustRightInd w:val="0"/>
        <w:snapToGrid w:val="0"/>
        <w:spacing w:line="540" w:lineRule="exact"/>
        <w:ind w:firstLine="640" w:firstLineChars="200"/>
        <w:rPr>
          <w:rFonts w:ascii="方正仿宋_GBK" w:hAnsi="Times New Roman" w:eastAsia="方正仿宋_GBK" w:cs="仿宋_GB2312"/>
          <w:sz w:val="32"/>
          <w:szCs w:val="32"/>
        </w:rPr>
      </w:pPr>
      <w:r>
        <w:rPr>
          <w:rFonts w:hint="eastAsia" w:ascii="方正仿宋_GBK" w:hAnsi="Times New Roman" w:eastAsia="方正仿宋_GBK" w:cs="仿宋_GB2312"/>
          <w:sz w:val="32"/>
          <w:szCs w:val="32"/>
        </w:rPr>
        <w:t>“挑战杯</w:t>
      </w:r>
      <w:r>
        <w:rPr>
          <w:rFonts w:hint="eastAsia" w:ascii="宋体" w:hAnsi="宋体" w:cs="宋体"/>
          <w:sz w:val="32"/>
          <w:szCs w:val="32"/>
        </w:rPr>
        <w:t>•</w:t>
      </w:r>
      <w:r>
        <w:rPr>
          <w:rFonts w:hint="eastAsia" w:ascii="方正仿宋_GBK" w:hAnsi="方正仿宋_GBK" w:eastAsia="方正仿宋_GBK" w:cs="方正仿宋_GBK"/>
          <w:sz w:val="32"/>
          <w:szCs w:val="32"/>
        </w:rPr>
        <w:t>创青春”</w:t>
      </w:r>
      <w:r>
        <w:rPr>
          <w:rFonts w:hint="eastAsia" w:ascii="方正仿宋_GBK" w:hAnsi="Times New Roman" w:eastAsia="方正仿宋_GBK" w:cs="仿宋_GB2312"/>
          <w:sz w:val="32"/>
          <w:szCs w:val="32"/>
        </w:rPr>
        <w:t>广东大学生创业大赛复赛、决赛阶段具体事宜将另行通知。</w:t>
      </w:r>
    </w:p>
    <w:p>
      <w:pPr>
        <w:spacing w:line="540" w:lineRule="exact"/>
        <w:ind w:firstLine="640" w:firstLineChars="200"/>
        <w:rPr>
          <w:rFonts w:ascii="方正黑体_GBK" w:hAnsi="Times New Roman" w:eastAsia="方正黑体_GBK" w:cs="黑体"/>
          <w:sz w:val="32"/>
          <w:szCs w:val="32"/>
        </w:rPr>
      </w:pPr>
      <w:r>
        <w:rPr>
          <w:rFonts w:hint="eastAsia" w:ascii="方正黑体_GBK" w:hAnsi="Times New Roman" w:eastAsia="方正黑体_GBK" w:cs="黑体"/>
          <w:sz w:val="32"/>
          <w:szCs w:val="32"/>
        </w:rPr>
        <w:t>七、奖项设置</w:t>
      </w:r>
    </w:p>
    <w:p>
      <w:pPr>
        <w:spacing w:line="540" w:lineRule="exact"/>
        <w:ind w:firstLine="640" w:firstLineChars="200"/>
        <w:rPr>
          <w:rFonts w:ascii="方正仿宋_GBK" w:hAnsi="Times New Roman" w:eastAsia="方正仿宋_GBK" w:cs="仿宋_GB2312"/>
          <w:sz w:val="32"/>
          <w:szCs w:val="32"/>
        </w:rPr>
      </w:pPr>
      <w:r>
        <w:rPr>
          <w:rFonts w:hint="eastAsia" w:ascii="方正仿宋_GBK" w:hAnsi="Times New Roman" w:eastAsia="方正仿宋_GBK" w:cs="仿宋_GB2312"/>
          <w:sz w:val="32"/>
          <w:szCs w:val="32"/>
        </w:rPr>
        <w:t>竞赛设集体奖、项目奖。集体奖按学校得分总分排名设1个“创青春杯”、10个“优创杯”，项目奖设金奖、银奖和铜奖，具体奖励规则见大赛章程（附件1）。另设置若干最佳创意奖、优秀首席执行官、优秀财务总监、优秀市场总监和创业素质奖等奖项。</w:t>
      </w:r>
    </w:p>
    <w:p>
      <w:pPr>
        <w:spacing w:line="540" w:lineRule="exact"/>
        <w:ind w:firstLine="640" w:firstLineChars="200"/>
        <w:rPr>
          <w:rFonts w:ascii="方正黑体_GBK" w:hAnsi="Times New Roman" w:eastAsia="方正黑体_GBK" w:cs="黑体"/>
          <w:sz w:val="32"/>
          <w:szCs w:val="32"/>
        </w:rPr>
      </w:pPr>
      <w:r>
        <w:rPr>
          <w:rFonts w:hint="eastAsia" w:ascii="方正黑体_GBK" w:hAnsi="Times New Roman" w:eastAsia="方正黑体_GBK" w:cs="黑体"/>
          <w:sz w:val="32"/>
          <w:szCs w:val="32"/>
        </w:rPr>
        <w:t>八、工作要求</w:t>
      </w:r>
    </w:p>
    <w:p>
      <w:pPr>
        <w:spacing w:line="540" w:lineRule="exact"/>
        <w:ind w:firstLine="643" w:firstLineChars="200"/>
        <w:rPr>
          <w:rFonts w:ascii="方正仿宋_GBK" w:hAnsi="Times New Roman" w:eastAsia="方正仿宋_GBK" w:cs="仿宋_GB2312"/>
          <w:sz w:val="32"/>
          <w:szCs w:val="32"/>
        </w:rPr>
      </w:pPr>
      <w:r>
        <w:rPr>
          <w:rFonts w:hint="eastAsia" w:ascii="方正仿宋_GBK" w:hAnsi="Times New Roman" w:eastAsia="方正仿宋_GBK" w:cs="仿宋_GB2312"/>
          <w:b/>
          <w:bCs/>
          <w:sz w:val="32"/>
          <w:szCs w:val="32"/>
        </w:rPr>
        <w:t>（一）高度重视，加强领导。</w:t>
      </w:r>
      <w:r>
        <w:rPr>
          <w:rFonts w:hint="eastAsia" w:ascii="方正仿宋_GBK" w:hAnsi="Times New Roman" w:eastAsia="方正仿宋_GBK" w:cs="仿宋_GB2312"/>
          <w:sz w:val="32"/>
          <w:szCs w:val="32"/>
        </w:rPr>
        <w:t>举办“挑战杯·创青春”广东大学生创业大赛是为深入贯彻党的十九大报告中“全党要关心和爱护青年，为他们实现人生出彩搭建舞台”的有关精神，推进高校就业创业教育、促进大学生创业实践的有力举措，对于引导和帮助大学生坚定理想信念，志存高远，脚踏实地，勇做时代的弄潮儿，在实现中国梦的生动实践中放飞青春梦想具有重要意义和积极作用。各高校要在继承和发展原有的竞赛经验和做法的基础上，结合各自实际，成立组织机构，完善省、校二级赛制，突出大学生以创新创业践行“中国梦”的时代主题，切实抓好大赛组织工作。</w:t>
      </w:r>
    </w:p>
    <w:p>
      <w:pPr>
        <w:spacing w:line="540" w:lineRule="exact"/>
        <w:ind w:firstLine="643" w:firstLineChars="200"/>
        <w:rPr>
          <w:rFonts w:ascii="方正仿宋_GBK" w:hAnsi="Times New Roman" w:eastAsia="方正仿宋_GBK" w:cs="仿宋_GB2312"/>
          <w:sz w:val="32"/>
          <w:szCs w:val="32"/>
        </w:rPr>
      </w:pPr>
      <w:r>
        <w:rPr>
          <w:rFonts w:hint="eastAsia" w:ascii="方正仿宋_GBK" w:hAnsi="Times New Roman" w:eastAsia="方正仿宋_GBK" w:cs="仿宋_GB2312"/>
          <w:b/>
          <w:bCs/>
          <w:sz w:val="32"/>
          <w:szCs w:val="32"/>
        </w:rPr>
        <w:t>（二）建章立制，把握导向。</w:t>
      </w:r>
      <w:r>
        <w:rPr>
          <w:rFonts w:hint="eastAsia" w:ascii="方正仿宋_GBK" w:hAnsi="Times New Roman" w:eastAsia="方正仿宋_GBK" w:cs="仿宋_GB2312"/>
          <w:sz w:val="32"/>
          <w:szCs w:val="32"/>
        </w:rPr>
        <w:t>各高校要结合大赛的新要求，进一步做好机制建设工作，要注重与“挑战杯”课外学术科技作品竞赛和“攀登计划”专项资金的衔接和延伸，鼓励学生将科技创新项目转化为创业实践，以创新促进创业。在对参赛项目和个人的激励支持上，各高校要依托大赛平台健全完善促进大学生创新创业服务体系和政策机制，积极推荐优秀项目（企业）到“中国青创板”综合金融服务平台挂牌，引入风险投资和联合社会有关方面为参赛项目提供资金、资源、智力等方面支持，努力推动参赛项目的成果转化。</w:t>
      </w:r>
    </w:p>
    <w:p>
      <w:pPr>
        <w:spacing w:line="540" w:lineRule="exact"/>
        <w:ind w:firstLine="643" w:firstLineChars="200"/>
        <w:rPr>
          <w:rFonts w:ascii="方正仿宋_GBK" w:hAnsi="Times New Roman" w:eastAsia="方正仿宋_GBK" w:cs="仿宋_GB2312"/>
          <w:sz w:val="32"/>
          <w:szCs w:val="32"/>
        </w:rPr>
      </w:pPr>
      <w:r>
        <w:rPr>
          <w:rFonts w:hint="eastAsia" w:ascii="方正仿宋_GBK" w:hAnsi="Times New Roman" w:eastAsia="方正仿宋_GBK" w:cs="仿宋_GB2312"/>
          <w:b/>
          <w:bCs/>
          <w:sz w:val="32"/>
          <w:szCs w:val="32"/>
        </w:rPr>
        <w:t>（三）广泛动员，密切配合。</w:t>
      </w:r>
      <w:r>
        <w:rPr>
          <w:rFonts w:hint="eastAsia" w:ascii="方正仿宋_GBK" w:hAnsi="Times New Roman" w:eastAsia="方正仿宋_GBK" w:cs="仿宋_GB2312"/>
          <w:sz w:val="32"/>
          <w:szCs w:val="32"/>
        </w:rPr>
        <w:t>各级共青团、人社、教育、科技、科协和学联等部门和组织要密切配合，加强与属地高校的联系和对接，整合各类政策资源对接服务各参赛项目和企业，以竞赛为契机充分引导和激励青年大学生积极投身创新创业。各相关职能部门要积极协助华南理工大学做好竞赛筹备工作，研究具体工作举措，积极引导和扶持参赛优秀项目落地孵化。各高校要广泛动员，认真选拔，既要保证参赛项目质量，也要扩大和提升大赛的参与面、受益面、影响力，努力为实现大赛目标发挥积极作用和提供有力保障。</w:t>
      </w:r>
    </w:p>
    <w:p>
      <w:pPr>
        <w:spacing w:line="540" w:lineRule="exact"/>
        <w:ind w:firstLine="643" w:firstLineChars="200"/>
        <w:rPr>
          <w:rFonts w:ascii="方正仿宋_GBK" w:hAnsi="Times New Roman" w:eastAsia="方正仿宋_GBK" w:cs="仿宋_GB2312"/>
          <w:sz w:val="32"/>
          <w:szCs w:val="32"/>
        </w:rPr>
      </w:pPr>
      <w:r>
        <w:rPr>
          <w:rFonts w:hint="eastAsia" w:ascii="方正仿宋_GBK" w:hAnsi="Times New Roman" w:eastAsia="方正仿宋_GBK" w:cs="仿宋_GB2312"/>
          <w:b/>
          <w:bCs/>
          <w:sz w:val="32"/>
          <w:szCs w:val="32"/>
        </w:rPr>
        <w:t>（四）加强宣传，营造氛围。</w:t>
      </w:r>
      <w:r>
        <w:rPr>
          <w:rFonts w:hint="eastAsia" w:ascii="方正仿宋_GBK" w:hAnsi="Times New Roman" w:eastAsia="方正仿宋_GBK" w:cs="仿宋_GB2312"/>
          <w:sz w:val="32"/>
          <w:szCs w:val="32"/>
        </w:rPr>
        <w:t>各高校要将大赛宣传作为重点工作，广泛借助电视、报刊杂志、广播等传统媒体和互联网、手机等新媒体手段，在学生中和社会上营造关注、理解、支持大学生投身创业的社会氛围，同时提升赛事的社会影响力与品牌传播力，为大学生创新创业创造良好的环境和平台。</w:t>
      </w:r>
    </w:p>
    <w:p>
      <w:pPr>
        <w:spacing w:line="540" w:lineRule="exact"/>
        <w:ind w:firstLine="640" w:firstLineChars="200"/>
        <w:rPr>
          <w:rFonts w:ascii="方正黑体_GBK" w:hAnsi="Times New Roman" w:eastAsia="方正黑体_GBK" w:cs="仿宋_GB2312"/>
          <w:sz w:val="32"/>
          <w:szCs w:val="32"/>
        </w:rPr>
      </w:pPr>
      <w:r>
        <w:rPr>
          <w:rFonts w:hint="eastAsia" w:ascii="方正黑体_GBK" w:hAnsi="Times New Roman" w:eastAsia="方正黑体_GBK" w:cs="黑体"/>
          <w:sz w:val="32"/>
          <w:szCs w:val="32"/>
        </w:rPr>
        <w:t>九、相关事项</w:t>
      </w:r>
    </w:p>
    <w:p>
      <w:pPr>
        <w:spacing w:line="540" w:lineRule="exact"/>
        <w:ind w:firstLine="640" w:firstLineChars="200"/>
        <w:rPr>
          <w:rFonts w:ascii="方正仿宋_GBK" w:hAnsi="Times New Roman" w:eastAsia="方正仿宋_GBK" w:cs="仿宋_GB2312"/>
          <w:sz w:val="32"/>
          <w:szCs w:val="32"/>
        </w:rPr>
      </w:pPr>
      <w:r>
        <w:rPr>
          <w:rFonts w:hint="eastAsia" w:ascii="方正仿宋_GBK" w:hAnsi="Times New Roman" w:eastAsia="方正仿宋_GBK" w:cs="仿宋_GB2312"/>
          <w:sz w:val="32"/>
          <w:szCs w:val="32"/>
        </w:rPr>
        <w:t>（一）组委会将严格保守参赛作品涉及的技术秘密和商业秘密。参赛者与发明创造或专利技术持有人的一切纠纷与组委会无关。</w:t>
      </w:r>
    </w:p>
    <w:p>
      <w:pPr>
        <w:spacing w:line="540" w:lineRule="exact"/>
        <w:ind w:firstLine="640" w:firstLineChars="200"/>
        <w:rPr>
          <w:rFonts w:ascii="方正仿宋_GBK" w:hAnsi="Times New Roman" w:eastAsia="方正仿宋_GBK" w:cs="仿宋_GB2312"/>
          <w:sz w:val="32"/>
          <w:szCs w:val="32"/>
        </w:rPr>
      </w:pPr>
      <w:r>
        <w:rPr>
          <w:rFonts w:hint="eastAsia" w:ascii="方正仿宋_GBK" w:hAnsi="Times New Roman" w:eastAsia="方正仿宋_GBK" w:cs="仿宋_GB2312"/>
          <w:sz w:val="32"/>
          <w:szCs w:val="32"/>
        </w:rPr>
        <w:t>（二）组委会将对作者和作品的资格进行审查，对于不符合参赛资格或弄虚作假者，一经查实，立刻取消其参赛资格，追回所获得的奖励及荣誉，并以适当形式公布。竞赛未尽事宜，请与团省委学校部、华南理工大学团委联系。</w:t>
      </w:r>
    </w:p>
    <w:p>
      <w:pPr>
        <w:spacing w:line="540" w:lineRule="exact"/>
        <w:ind w:firstLine="640" w:firstLineChars="200"/>
        <w:rPr>
          <w:rFonts w:ascii="方正黑体_GBK" w:hAnsi="Times New Roman" w:eastAsia="方正黑体_GBK" w:cs="黑体"/>
          <w:sz w:val="32"/>
          <w:szCs w:val="32"/>
        </w:rPr>
      </w:pPr>
      <w:r>
        <w:rPr>
          <w:rFonts w:hint="eastAsia" w:ascii="方正黑体_GBK" w:hAnsi="Times New Roman" w:eastAsia="方正黑体_GBK" w:cs="黑体"/>
          <w:sz w:val="32"/>
          <w:szCs w:val="32"/>
        </w:rPr>
        <w:t>十、联系方式</w:t>
      </w:r>
    </w:p>
    <w:p>
      <w:pPr>
        <w:spacing w:line="540" w:lineRule="exact"/>
        <w:ind w:firstLine="640" w:firstLineChars="200"/>
        <w:rPr>
          <w:rFonts w:ascii="方正仿宋_GBK" w:hAnsi="Times New Roman" w:eastAsia="方正仿宋_GBK" w:cs="仿宋_GB2312"/>
          <w:sz w:val="32"/>
          <w:szCs w:val="32"/>
        </w:rPr>
      </w:pPr>
      <w:r>
        <w:rPr>
          <w:rFonts w:hint="eastAsia" w:ascii="方正仿宋_GBK" w:hAnsi="Times New Roman" w:eastAsia="方正仿宋_GBK" w:cs="仿宋_GB2312"/>
          <w:sz w:val="32"/>
          <w:szCs w:val="32"/>
        </w:rPr>
        <w:t>（一）团省委学校部</w:t>
      </w:r>
    </w:p>
    <w:p>
      <w:pPr>
        <w:spacing w:line="540" w:lineRule="exact"/>
        <w:ind w:firstLine="640" w:firstLineChars="200"/>
        <w:rPr>
          <w:rFonts w:ascii="方正仿宋_GBK" w:hAnsi="Times New Roman" w:eastAsia="方正仿宋_GBK" w:cs="仿宋_GB2312"/>
          <w:sz w:val="32"/>
          <w:szCs w:val="32"/>
        </w:rPr>
      </w:pPr>
      <w:r>
        <w:rPr>
          <w:rFonts w:hint="eastAsia" w:ascii="方正仿宋_GBK" w:hAnsi="Times New Roman" w:eastAsia="方正仿宋_GBK" w:cs="仿宋_GB2312"/>
          <w:sz w:val="32"/>
          <w:szCs w:val="32"/>
        </w:rPr>
        <w:t>联系人：罗珂、钟裕</w:t>
      </w:r>
    </w:p>
    <w:p>
      <w:pPr>
        <w:spacing w:line="540" w:lineRule="exact"/>
        <w:ind w:firstLine="640" w:firstLineChars="200"/>
        <w:rPr>
          <w:rFonts w:ascii="方正仿宋_GBK" w:hAnsi="Times New Roman" w:eastAsia="方正仿宋_GBK" w:cs="仿宋_GB2312"/>
          <w:sz w:val="32"/>
          <w:szCs w:val="32"/>
        </w:rPr>
      </w:pPr>
      <w:r>
        <w:rPr>
          <w:rFonts w:hint="eastAsia" w:ascii="方正仿宋_GBK" w:hAnsi="Times New Roman" w:eastAsia="方正仿宋_GBK" w:cs="仿宋_GB2312"/>
          <w:sz w:val="32"/>
          <w:szCs w:val="32"/>
        </w:rPr>
        <w:t>电  话：020-87185614</w:t>
      </w:r>
    </w:p>
    <w:p>
      <w:pPr>
        <w:spacing w:line="540" w:lineRule="exact"/>
        <w:ind w:firstLine="640" w:firstLineChars="200"/>
        <w:rPr>
          <w:rFonts w:ascii="方正仿宋_GBK" w:hAnsi="Times New Roman" w:eastAsia="方正仿宋_GBK" w:cs="仿宋_GB2312"/>
          <w:sz w:val="32"/>
          <w:szCs w:val="32"/>
        </w:rPr>
      </w:pPr>
      <w:r>
        <w:rPr>
          <w:rFonts w:hint="eastAsia" w:ascii="方正仿宋_GBK" w:hAnsi="Times New Roman" w:eastAsia="方正仿宋_GBK" w:cs="仿宋_GB2312"/>
          <w:sz w:val="32"/>
          <w:szCs w:val="32"/>
        </w:rPr>
        <w:t>传  真：020-87195615</w:t>
      </w:r>
    </w:p>
    <w:p>
      <w:pPr>
        <w:spacing w:line="540" w:lineRule="exact"/>
        <w:ind w:firstLine="640" w:firstLineChars="200"/>
        <w:rPr>
          <w:rFonts w:ascii="方正仿宋_GBK" w:hAnsi="Times New Roman" w:eastAsia="方正仿宋_GBK" w:cs="仿宋_GB2312"/>
          <w:sz w:val="32"/>
          <w:szCs w:val="32"/>
        </w:rPr>
      </w:pPr>
      <w:r>
        <w:rPr>
          <w:rFonts w:hint="eastAsia" w:ascii="方正仿宋_GBK" w:hAnsi="Times New Roman" w:eastAsia="方正仿宋_GBK" w:cs="仿宋_GB2312"/>
          <w:sz w:val="32"/>
          <w:szCs w:val="32"/>
        </w:rPr>
        <w:t>（二）承办高校：华南理工大学</w:t>
      </w:r>
    </w:p>
    <w:p>
      <w:pPr>
        <w:spacing w:line="540" w:lineRule="exact"/>
        <w:ind w:firstLine="640" w:firstLineChars="200"/>
        <w:rPr>
          <w:rFonts w:ascii="方正仿宋_GBK" w:hAnsi="Times New Roman" w:eastAsia="方正仿宋_GBK" w:cs="仿宋_GB2312"/>
          <w:sz w:val="32"/>
          <w:szCs w:val="32"/>
        </w:rPr>
      </w:pPr>
      <w:r>
        <w:rPr>
          <w:rFonts w:hint="eastAsia" w:ascii="方正仿宋_GBK" w:hAnsi="Times New Roman" w:eastAsia="方正仿宋_GBK" w:cs="仿宋_GB2312"/>
          <w:sz w:val="32"/>
          <w:szCs w:val="32"/>
        </w:rPr>
        <w:t>联系人：孟勋、朱同发</w:t>
      </w:r>
    </w:p>
    <w:p>
      <w:pPr>
        <w:spacing w:line="540" w:lineRule="exact"/>
        <w:ind w:firstLine="640" w:firstLineChars="200"/>
        <w:rPr>
          <w:rFonts w:ascii="方正仿宋_GBK" w:hAnsi="Times New Roman" w:eastAsia="方正仿宋_GBK" w:cs="仿宋_GB2312"/>
          <w:sz w:val="32"/>
          <w:szCs w:val="32"/>
        </w:rPr>
      </w:pPr>
      <w:r>
        <w:rPr>
          <w:rFonts w:hint="eastAsia" w:ascii="方正仿宋_GBK" w:hAnsi="Times New Roman" w:eastAsia="方正仿宋_GBK" w:cs="仿宋_GB2312"/>
          <w:sz w:val="32"/>
          <w:szCs w:val="32"/>
        </w:rPr>
        <w:t>电  话：020-87114375</w:t>
      </w:r>
    </w:p>
    <w:p>
      <w:pPr>
        <w:spacing w:line="540" w:lineRule="exact"/>
        <w:ind w:firstLine="640" w:firstLineChars="200"/>
        <w:rPr>
          <w:rFonts w:ascii="方正仿宋_GBK" w:hAnsi="Times New Roman" w:eastAsia="方正仿宋_GBK" w:cs="仿宋_GB2312"/>
          <w:sz w:val="32"/>
          <w:szCs w:val="32"/>
        </w:rPr>
      </w:pPr>
      <w:r>
        <w:rPr>
          <w:rFonts w:hint="eastAsia" w:ascii="方正仿宋_GBK" w:hAnsi="Times New Roman" w:eastAsia="方正仿宋_GBK" w:cs="仿宋_GB2312"/>
          <w:sz w:val="32"/>
          <w:szCs w:val="32"/>
        </w:rPr>
        <w:t>传  真：020-87114375</w:t>
      </w:r>
    </w:p>
    <w:p>
      <w:pPr>
        <w:spacing w:line="540" w:lineRule="exact"/>
        <w:ind w:firstLine="640" w:firstLineChars="200"/>
        <w:rPr>
          <w:rFonts w:ascii="方正仿宋_GBK" w:hAnsi="Times New Roman" w:eastAsia="方正仿宋_GBK" w:cs="仿宋_GB2312"/>
          <w:sz w:val="32"/>
          <w:szCs w:val="32"/>
        </w:rPr>
      </w:pPr>
      <w:r>
        <w:rPr>
          <w:rFonts w:hint="eastAsia" w:ascii="方正仿宋_GBK" w:hAnsi="Times New Roman" w:eastAsia="方正仿宋_GBK" w:cs="仿宋_GB2312"/>
          <w:sz w:val="32"/>
          <w:szCs w:val="32"/>
        </w:rPr>
        <w:t>地址：广州市天河区五山路381号华南理工大学1号1116室</w:t>
      </w:r>
    </w:p>
    <w:p>
      <w:pPr>
        <w:spacing w:line="540" w:lineRule="exact"/>
        <w:ind w:firstLine="640" w:firstLineChars="200"/>
        <w:rPr>
          <w:rFonts w:ascii="方正仿宋_GBK" w:hAnsi="Times New Roman" w:eastAsia="方正仿宋_GBK" w:cs="仿宋_GB2312"/>
          <w:sz w:val="32"/>
          <w:szCs w:val="32"/>
        </w:rPr>
      </w:pPr>
      <w:r>
        <w:rPr>
          <w:rFonts w:hint="eastAsia" w:ascii="方正仿宋_GBK" w:hAnsi="Times New Roman" w:eastAsia="方正仿宋_GBK" w:cs="仿宋_GB2312"/>
          <w:sz w:val="32"/>
          <w:szCs w:val="32"/>
        </w:rPr>
        <w:t>邮编：510641</w:t>
      </w:r>
    </w:p>
    <w:p>
      <w:pPr>
        <w:spacing w:line="540" w:lineRule="exact"/>
        <w:ind w:firstLine="640" w:firstLineChars="200"/>
        <w:rPr>
          <w:rFonts w:ascii="方正仿宋_GBK" w:hAnsi="Times New Roman" w:eastAsia="方正仿宋_GBK" w:cs="仿宋_GB2312"/>
          <w:sz w:val="32"/>
          <w:szCs w:val="32"/>
        </w:rPr>
      </w:pPr>
      <w:r>
        <w:rPr>
          <w:rFonts w:hint="eastAsia" w:ascii="方正仿宋_GBK" w:hAnsi="Times New Roman" w:eastAsia="方正仿宋_GBK" w:cs="仿宋_GB2312"/>
          <w:sz w:val="32"/>
          <w:szCs w:val="32"/>
        </w:rPr>
        <w:t>电子邮箱：</w:t>
      </w:r>
      <w:r>
        <w:rPr>
          <w:rFonts w:hint="eastAsia" w:ascii="方正仿宋_GBK" w:hAnsi="Times New Roman" w:eastAsia="方正仿宋_GBK" w:cs="仿宋_GB2312"/>
          <w:sz w:val="32"/>
          <w:szCs w:val="32"/>
        </w:rPr>
        <w:fldChar w:fldCharType="begin"/>
      </w:r>
      <w:r>
        <w:rPr>
          <w:rFonts w:hint="eastAsia" w:ascii="方正仿宋_GBK" w:hAnsi="Times New Roman" w:eastAsia="方正仿宋_GBK" w:cs="仿宋_GB2312"/>
          <w:sz w:val="32"/>
          <w:szCs w:val="32"/>
        </w:rPr>
        <w:instrText xml:space="preserve"> HYPERLINK "mailto:j2tw@scut.edu.cn" </w:instrText>
      </w:r>
      <w:r>
        <w:rPr>
          <w:rFonts w:hint="eastAsia" w:ascii="方正仿宋_GBK" w:hAnsi="Times New Roman" w:eastAsia="方正仿宋_GBK" w:cs="仿宋_GB2312"/>
          <w:sz w:val="32"/>
          <w:szCs w:val="32"/>
        </w:rPr>
        <w:fldChar w:fldCharType="separate"/>
      </w:r>
      <w:r>
        <w:rPr>
          <w:rStyle w:val="7"/>
          <w:rFonts w:hint="eastAsia" w:ascii="方正仿宋_GBK" w:hAnsi="Times New Roman" w:eastAsia="方正仿宋_GBK" w:cs="仿宋_GB2312"/>
          <w:sz w:val="32"/>
          <w:szCs w:val="32"/>
        </w:rPr>
        <w:t>j2tw@scut.edu.cn</w:t>
      </w:r>
      <w:r>
        <w:rPr>
          <w:rFonts w:hint="eastAsia" w:ascii="方正仿宋_GBK" w:hAnsi="Times New Roman" w:eastAsia="方正仿宋_GBK" w:cs="仿宋_GB2312"/>
          <w:sz w:val="32"/>
          <w:szCs w:val="32"/>
        </w:rPr>
        <w:fldChar w:fldCharType="end"/>
      </w:r>
    </w:p>
    <w:p>
      <w:pPr>
        <w:numPr>
          <w:ilvl w:val="0"/>
          <w:numId w:val="1"/>
        </w:numPr>
        <w:spacing w:line="540" w:lineRule="exact"/>
        <w:ind w:firstLine="640" w:firstLineChars="200"/>
        <w:rPr>
          <w:rFonts w:ascii="方正仿宋_GBK" w:hAnsi="Times New Roman" w:eastAsia="方正仿宋_GBK" w:cs="仿宋_GB2312"/>
          <w:sz w:val="32"/>
          <w:szCs w:val="32"/>
        </w:rPr>
      </w:pPr>
      <w:r>
        <w:rPr>
          <w:rFonts w:hint="eastAsia" w:ascii="方正仿宋_GBK" w:hAnsi="Times New Roman" w:eastAsia="方正仿宋_GBK" w:cs="仿宋_GB2312"/>
          <w:sz w:val="32"/>
          <w:szCs w:val="32"/>
        </w:rPr>
        <w:t>“中国青创板”挂牌申报工作：</w:t>
      </w:r>
    </w:p>
    <w:p>
      <w:pPr>
        <w:spacing w:line="540" w:lineRule="exact"/>
        <w:ind w:firstLine="640" w:firstLineChars="200"/>
        <w:rPr>
          <w:rFonts w:ascii="方正仿宋_GBK" w:hAnsi="Times New Roman" w:eastAsia="方正仿宋_GBK" w:cs="仿宋_GB2312"/>
          <w:sz w:val="32"/>
          <w:szCs w:val="32"/>
        </w:rPr>
      </w:pPr>
      <w:r>
        <w:rPr>
          <w:rFonts w:hint="eastAsia" w:ascii="方正仿宋_GBK" w:hAnsi="Times New Roman" w:eastAsia="方正仿宋_GBK" w:cs="仿宋_GB2312"/>
          <w:sz w:val="32"/>
          <w:szCs w:val="32"/>
        </w:rPr>
        <w:t>1.广州股权交易中心</w:t>
      </w:r>
    </w:p>
    <w:p>
      <w:pPr>
        <w:spacing w:line="540" w:lineRule="exact"/>
        <w:ind w:firstLine="640"/>
        <w:rPr>
          <w:rFonts w:ascii="方正仿宋_GBK" w:hAnsi="Times New Roman" w:eastAsia="方正仿宋_GBK" w:cs="仿宋_GB2312"/>
          <w:sz w:val="32"/>
          <w:szCs w:val="32"/>
        </w:rPr>
      </w:pPr>
      <w:r>
        <w:rPr>
          <w:rFonts w:hint="eastAsia" w:ascii="方正仿宋_GBK" w:hAnsi="Times New Roman" w:eastAsia="方正仿宋_GBK" w:cs="仿宋_GB2312"/>
          <w:sz w:val="32"/>
          <w:szCs w:val="32"/>
        </w:rPr>
        <w:t>联系人：李国乐</w:t>
      </w:r>
    </w:p>
    <w:p>
      <w:pPr>
        <w:spacing w:line="540" w:lineRule="exact"/>
        <w:ind w:firstLine="640"/>
        <w:rPr>
          <w:rFonts w:ascii="方正仿宋_GBK" w:hAnsi="Times New Roman" w:eastAsia="方正仿宋_GBK" w:cs="仿宋_GB2312"/>
          <w:sz w:val="32"/>
          <w:szCs w:val="32"/>
        </w:rPr>
      </w:pPr>
      <w:r>
        <w:rPr>
          <w:rFonts w:hint="eastAsia" w:ascii="方正仿宋_GBK" w:hAnsi="Times New Roman" w:eastAsia="方正仿宋_GBK" w:cs="仿宋_GB2312"/>
          <w:sz w:val="32"/>
          <w:szCs w:val="32"/>
        </w:rPr>
        <w:t>电  话：020-66885212</w:t>
      </w:r>
    </w:p>
    <w:p>
      <w:pPr>
        <w:spacing w:line="540" w:lineRule="exact"/>
        <w:ind w:firstLine="640" w:firstLineChars="200"/>
        <w:rPr>
          <w:rFonts w:ascii="方正仿宋_GBK" w:hAnsi="Times New Roman" w:eastAsia="方正仿宋_GBK" w:cs="仿宋_GB2312"/>
          <w:sz w:val="32"/>
          <w:szCs w:val="32"/>
        </w:rPr>
      </w:pPr>
      <w:r>
        <w:rPr>
          <w:rFonts w:hint="eastAsia" w:ascii="方正仿宋_GBK" w:hAnsi="Times New Roman" w:eastAsia="方正仿宋_GBK" w:cs="仿宋_GB2312"/>
          <w:sz w:val="32"/>
          <w:szCs w:val="32"/>
        </w:rPr>
        <w:t>2.广东省青年创业就业促进中心</w:t>
      </w:r>
    </w:p>
    <w:p>
      <w:pPr>
        <w:spacing w:line="540" w:lineRule="exact"/>
        <w:ind w:firstLine="640" w:firstLineChars="200"/>
        <w:rPr>
          <w:rFonts w:ascii="方正仿宋_GBK" w:hAnsi="Times New Roman" w:eastAsia="方正仿宋_GBK" w:cs="仿宋_GB2312"/>
          <w:sz w:val="32"/>
          <w:szCs w:val="32"/>
        </w:rPr>
      </w:pPr>
      <w:r>
        <w:rPr>
          <w:rFonts w:hint="eastAsia" w:ascii="方正仿宋_GBK" w:hAnsi="Times New Roman" w:eastAsia="方正仿宋_GBK" w:cs="仿宋_GB2312"/>
          <w:sz w:val="32"/>
          <w:szCs w:val="32"/>
        </w:rPr>
        <w:t>联系人：罗悦文</w:t>
      </w:r>
    </w:p>
    <w:p>
      <w:pPr>
        <w:spacing w:line="540" w:lineRule="exact"/>
        <w:ind w:firstLine="640" w:firstLineChars="200"/>
        <w:rPr>
          <w:rFonts w:ascii="方正仿宋_GBK" w:hAnsi="Times New Roman" w:eastAsia="方正仿宋_GBK" w:cs="仿宋_GB2312"/>
          <w:sz w:val="32"/>
          <w:szCs w:val="32"/>
        </w:rPr>
      </w:pPr>
      <w:r>
        <w:rPr>
          <w:rFonts w:hint="eastAsia" w:ascii="方正仿宋_GBK" w:hAnsi="Times New Roman" w:eastAsia="方正仿宋_GBK" w:cs="仿宋_GB2312"/>
          <w:sz w:val="32"/>
          <w:szCs w:val="32"/>
        </w:rPr>
        <w:t>电  话：020-87185702</w:t>
      </w:r>
    </w:p>
    <w:p>
      <w:pPr>
        <w:spacing w:line="540" w:lineRule="exact"/>
        <w:ind w:firstLine="640"/>
        <w:rPr>
          <w:rFonts w:ascii="方正仿宋_GBK" w:hAnsi="Times New Roman" w:eastAsia="方正仿宋_GBK" w:cs="仿宋_GB2312"/>
          <w:sz w:val="32"/>
          <w:szCs w:val="32"/>
        </w:rPr>
      </w:pPr>
    </w:p>
    <w:p>
      <w:pPr>
        <w:spacing w:line="540" w:lineRule="exact"/>
        <w:ind w:firstLine="640" w:firstLineChars="200"/>
        <w:jc w:val="left"/>
        <w:rPr>
          <w:rFonts w:ascii="方正仿宋_GBK" w:hAnsi="Times New Roman" w:eastAsia="方正仿宋_GBK" w:cs="仿宋_GB2312"/>
          <w:sz w:val="32"/>
          <w:szCs w:val="32"/>
        </w:rPr>
      </w:pPr>
      <w:r>
        <w:rPr>
          <w:rFonts w:hint="eastAsia" w:ascii="方正仿宋_GBK" w:hAnsi="Times New Roman" w:eastAsia="方正仿宋_GBK" w:cs="仿宋_GB2312"/>
          <w:sz w:val="32"/>
          <w:szCs w:val="32"/>
        </w:rPr>
        <w:t>附件：1.“挑战杯·创青春”广东大学生创业竞赛章程</w:t>
      </w:r>
    </w:p>
    <w:p>
      <w:pPr>
        <w:spacing w:line="540" w:lineRule="exact"/>
        <w:ind w:firstLine="640" w:firstLineChars="200"/>
        <w:jc w:val="left"/>
        <w:rPr>
          <w:rFonts w:ascii="方正仿宋_GBK" w:hAnsi="Times New Roman" w:eastAsia="方正仿宋_GBK" w:cs="仿宋_GB2312"/>
          <w:sz w:val="32"/>
          <w:szCs w:val="32"/>
        </w:rPr>
      </w:pPr>
      <w:r>
        <w:rPr>
          <w:rFonts w:hint="eastAsia" w:ascii="方正仿宋_GBK" w:hAnsi="Times New Roman" w:eastAsia="方正仿宋_GBK" w:cs="仿宋_GB2312"/>
          <w:sz w:val="32"/>
          <w:szCs w:val="32"/>
        </w:rPr>
        <w:t xml:space="preserve">      2．2018年“挑战杯·创青春”广东大学生创业</w:t>
      </w:r>
    </w:p>
    <w:p>
      <w:pPr>
        <w:spacing w:line="540" w:lineRule="exact"/>
        <w:ind w:firstLine="640" w:firstLineChars="200"/>
        <w:jc w:val="left"/>
        <w:rPr>
          <w:rFonts w:ascii="方正仿宋_GBK" w:hAnsi="Times New Roman" w:eastAsia="方正仿宋_GBK" w:cs="仿宋_GB2312"/>
          <w:sz w:val="32"/>
          <w:szCs w:val="32"/>
        </w:rPr>
      </w:pPr>
      <w:r>
        <w:rPr>
          <w:rFonts w:hint="eastAsia" w:ascii="方正仿宋_GBK" w:hAnsi="Times New Roman" w:eastAsia="方正仿宋_GBK" w:cs="仿宋_GB2312"/>
          <w:sz w:val="32"/>
          <w:szCs w:val="32"/>
        </w:rPr>
        <w:t xml:space="preserve">         大赛作品数额分配表</w:t>
      </w:r>
    </w:p>
    <w:p>
      <w:pPr>
        <w:spacing w:line="540" w:lineRule="exact"/>
        <w:ind w:firstLine="640" w:firstLineChars="200"/>
        <w:jc w:val="left"/>
        <w:rPr>
          <w:rFonts w:ascii="方正仿宋_GBK" w:hAnsi="Times New Roman" w:eastAsia="方正仿宋_GBK" w:cs="仿宋_GB2312"/>
          <w:sz w:val="32"/>
          <w:szCs w:val="32"/>
        </w:rPr>
      </w:pPr>
      <w:r>
        <w:rPr>
          <w:rFonts w:hint="eastAsia" w:ascii="方正仿宋_GBK" w:hAnsi="Times New Roman" w:eastAsia="方正仿宋_GBK" w:cs="仿宋_GB2312"/>
          <w:sz w:val="32"/>
          <w:szCs w:val="32"/>
        </w:rPr>
        <w:t xml:space="preserve">      3.“中国青创板”挂牌申报材料</w:t>
      </w:r>
    </w:p>
    <w:p>
      <w:pPr>
        <w:spacing w:line="540" w:lineRule="exact"/>
        <w:ind w:firstLine="640" w:firstLineChars="200"/>
        <w:jc w:val="right"/>
        <w:rPr>
          <w:rFonts w:ascii="方正仿宋_GBK" w:hAnsi="Times New Roman" w:eastAsia="方正仿宋_GBK" w:cs="仿宋_GB2312"/>
          <w:sz w:val="32"/>
          <w:szCs w:val="32"/>
        </w:rPr>
      </w:pPr>
      <w:r>
        <w:rPr>
          <w:rFonts w:hint="eastAsia" w:ascii="方正仿宋_GBK" w:hAnsi="Times New Roman" w:eastAsia="方正仿宋_GBK" w:cs="仿宋_GB2312"/>
          <w:sz w:val="32"/>
          <w:szCs w:val="32"/>
        </w:rPr>
        <w:t xml:space="preserve">                                               </w:t>
      </w:r>
    </w:p>
    <w:tbl>
      <w:tblPr>
        <w:tblStyle w:val="8"/>
        <w:tblW w:w="9468" w:type="dxa"/>
        <w:jc w:val="center"/>
        <w:tblInd w:w="0" w:type="dxa"/>
        <w:tblLayout w:type="fixed"/>
        <w:tblCellMar>
          <w:top w:w="0" w:type="dxa"/>
          <w:left w:w="108" w:type="dxa"/>
          <w:bottom w:w="0" w:type="dxa"/>
          <w:right w:w="108" w:type="dxa"/>
        </w:tblCellMar>
      </w:tblPr>
      <w:tblGrid>
        <w:gridCol w:w="4788"/>
        <w:gridCol w:w="4680"/>
      </w:tblGrid>
      <w:tr>
        <w:tblPrEx>
          <w:tblLayout w:type="fixed"/>
          <w:tblCellMar>
            <w:top w:w="0" w:type="dxa"/>
            <w:left w:w="108" w:type="dxa"/>
            <w:bottom w:w="0" w:type="dxa"/>
            <w:right w:w="108" w:type="dxa"/>
          </w:tblCellMar>
        </w:tblPrEx>
        <w:trPr>
          <w:trHeight w:val="1134" w:hRule="exact"/>
          <w:jc w:val="center"/>
        </w:trPr>
        <w:tc>
          <w:tcPr>
            <w:tcW w:w="4788" w:type="dxa"/>
            <w:vAlign w:val="center"/>
          </w:tcPr>
          <w:p>
            <w:pPr>
              <w:adjustRightInd w:val="0"/>
              <w:snapToGrid w:val="0"/>
              <w:spacing w:line="500" w:lineRule="exact"/>
              <w:jc w:val="center"/>
              <w:rPr>
                <w:rFonts w:ascii="方正仿宋_GBK" w:hAnsi="Times New Roman" w:eastAsia="方正仿宋_GBK" w:cs="仿宋_GB2312"/>
                <w:sz w:val="32"/>
                <w:szCs w:val="32"/>
              </w:rPr>
            </w:pPr>
            <w:r>
              <w:rPr>
                <w:rFonts w:hint="eastAsia" w:ascii="方正仿宋_GBK" w:hAnsi="Times New Roman" w:eastAsia="方正仿宋_GBK" w:cs="仿宋_GB2312"/>
                <w:sz w:val="32"/>
                <w:szCs w:val="32"/>
              </w:rPr>
              <w:t>共青团广东省委员会</w:t>
            </w:r>
          </w:p>
        </w:tc>
        <w:tc>
          <w:tcPr>
            <w:tcW w:w="4680" w:type="dxa"/>
            <w:vAlign w:val="center"/>
          </w:tcPr>
          <w:p>
            <w:pPr>
              <w:adjustRightInd w:val="0"/>
              <w:snapToGrid w:val="0"/>
              <w:spacing w:line="500" w:lineRule="exact"/>
              <w:jc w:val="center"/>
              <w:rPr>
                <w:rFonts w:ascii="方正仿宋_GBK" w:hAnsi="Times New Roman" w:eastAsia="方正仿宋_GBK" w:cs="仿宋_GB2312"/>
                <w:sz w:val="32"/>
                <w:szCs w:val="32"/>
              </w:rPr>
            </w:pPr>
            <w:r>
              <w:rPr>
                <w:rFonts w:hint="eastAsia" w:ascii="方正仿宋_GBK" w:hAnsi="Times New Roman" w:eastAsia="方正仿宋_GBK" w:cs="仿宋_GB2312"/>
                <w:sz w:val="32"/>
                <w:szCs w:val="32"/>
              </w:rPr>
              <w:t>广东省人力资源和社会保障厅</w:t>
            </w:r>
          </w:p>
        </w:tc>
      </w:tr>
      <w:tr>
        <w:tblPrEx>
          <w:tblLayout w:type="fixed"/>
          <w:tblCellMar>
            <w:top w:w="0" w:type="dxa"/>
            <w:left w:w="108" w:type="dxa"/>
            <w:bottom w:w="0" w:type="dxa"/>
            <w:right w:w="108" w:type="dxa"/>
          </w:tblCellMar>
        </w:tblPrEx>
        <w:trPr>
          <w:trHeight w:val="1134" w:hRule="exact"/>
          <w:jc w:val="center"/>
        </w:trPr>
        <w:tc>
          <w:tcPr>
            <w:tcW w:w="4788" w:type="dxa"/>
            <w:vAlign w:val="center"/>
          </w:tcPr>
          <w:p>
            <w:pPr>
              <w:adjustRightInd w:val="0"/>
              <w:snapToGrid w:val="0"/>
              <w:spacing w:line="500" w:lineRule="exact"/>
              <w:jc w:val="center"/>
              <w:rPr>
                <w:rFonts w:ascii="方正仿宋_GBK" w:hAnsi="Times New Roman" w:eastAsia="方正仿宋_GBK" w:cs="仿宋_GB2312"/>
                <w:sz w:val="32"/>
                <w:szCs w:val="32"/>
              </w:rPr>
            </w:pPr>
          </w:p>
        </w:tc>
        <w:tc>
          <w:tcPr>
            <w:tcW w:w="4680" w:type="dxa"/>
            <w:vAlign w:val="center"/>
          </w:tcPr>
          <w:p>
            <w:pPr>
              <w:adjustRightInd w:val="0"/>
              <w:snapToGrid w:val="0"/>
              <w:spacing w:line="500" w:lineRule="exact"/>
              <w:jc w:val="center"/>
              <w:rPr>
                <w:rFonts w:ascii="方正仿宋_GBK" w:hAnsi="Times New Roman" w:eastAsia="方正仿宋_GBK" w:cs="仿宋_GB2312"/>
                <w:sz w:val="32"/>
                <w:szCs w:val="32"/>
              </w:rPr>
            </w:pPr>
          </w:p>
        </w:tc>
      </w:tr>
      <w:tr>
        <w:tblPrEx>
          <w:tblLayout w:type="fixed"/>
          <w:tblCellMar>
            <w:top w:w="0" w:type="dxa"/>
            <w:left w:w="108" w:type="dxa"/>
            <w:bottom w:w="0" w:type="dxa"/>
            <w:right w:w="108" w:type="dxa"/>
          </w:tblCellMar>
        </w:tblPrEx>
        <w:trPr>
          <w:trHeight w:val="1134" w:hRule="exact"/>
          <w:jc w:val="center"/>
        </w:trPr>
        <w:tc>
          <w:tcPr>
            <w:tcW w:w="4788" w:type="dxa"/>
            <w:vAlign w:val="center"/>
          </w:tcPr>
          <w:p>
            <w:pPr>
              <w:adjustRightInd w:val="0"/>
              <w:snapToGrid w:val="0"/>
              <w:spacing w:line="500" w:lineRule="exact"/>
              <w:jc w:val="center"/>
              <w:rPr>
                <w:rFonts w:ascii="方正仿宋_GBK" w:hAnsi="Times New Roman" w:eastAsia="方正仿宋_GBK" w:cs="仿宋_GB2312"/>
                <w:sz w:val="32"/>
                <w:szCs w:val="32"/>
              </w:rPr>
            </w:pPr>
            <w:r>
              <w:rPr>
                <w:rFonts w:hint="eastAsia" w:ascii="方正仿宋_GBK" w:hAnsi="Times New Roman" w:eastAsia="方正仿宋_GBK" w:cs="仿宋_GB2312"/>
                <w:sz w:val="32"/>
                <w:szCs w:val="32"/>
              </w:rPr>
              <w:t>广东省教育厅</w:t>
            </w:r>
          </w:p>
        </w:tc>
        <w:tc>
          <w:tcPr>
            <w:tcW w:w="4680" w:type="dxa"/>
            <w:vAlign w:val="center"/>
          </w:tcPr>
          <w:p>
            <w:pPr>
              <w:adjustRightInd w:val="0"/>
              <w:snapToGrid w:val="0"/>
              <w:spacing w:line="500" w:lineRule="exact"/>
              <w:jc w:val="center"/>
              <w:rPr>
                <w:rFonts w:ascii="方正仿宋_GBK" w:hAnsi="Times New Roman" w:eastAsia="方正仿宋_GBK" w:cs="仿宋_GB2312"/>
                <w:sz w:val="32"/>
                <w:szCs w:val="32"/>
              </w:rPr>
            </w:pPr>
            <w:r>
              <w:rPr>
                <w:rFonts w:hint="eastAsia" w:ascii="方正仿宋_GBK" w:hAnsi="Times New Roman" w:eastAsia="方正仿宋_GBK" w:cs="仿宋_GB2312"/>
                <w:sz w:val="32"/>
                <w:szCs w:val="32"/>
              </w:rPr>
              <w:t>广东省科学技术厅</w:t>
            </w:r>
          </w:p>
        </w:tc>
      </w:tr>
      <w:tr>
        <w:tblPrEx>
          <w:tblLayout w:type="fixed"/>
          <w:tblCellMar>
            <w:top w:w="0" w:type="dxa"/>
            <w:left w:w="108" w:type="dxa"/>
            <w:bottom w:w="0" w:type="dxa"/>
            <w:right w:w="108" w:type="dxa"/>
          </w:tblCellMar>
        </w:tblPrEx>
        <w:trPr>
          <w:trHeight w:val="1134" w:hRule="exact"/>
          <w:jc w:val="center"/>
        </w:trPr>
        <w:tc>
          <w:tcPr>
            <w:tcW w:w="4788" w:type="dxa"/>
            <w:vAlign w:val="center"/>
          </w:tcPr>
          <w:p>
            <w:pPr>
              <w:adjustRightInd w:val="0"/>
              <w:snapToGrid w:val="0"/>
              <w:spacing w:line="500" w:lineRule="exact"/>
              <w:jc w:val="center"/>
              <w:rPr>
                <w:rFonts w:ascii="方正仿宋_GBK" w:hAnsi="Times New Roman" w:eastAsia="方正仿宋_GBK" w:cs="仿宋_GB2312"/>
                <w:sz w:val="32"/>
                <w:szCs w:val="32"/>
              </w:rPr>
            </w:pPr>
          </w:p>
        </w:tc>
        <w:tc>
          <w:tcPr>
            <w:tcW w:w="4680" w:type="dxa"/>
            <w:vAlign w:val="center"/>
          </w:tcPr>
          <w:p>
            <w:pPr>
              <w:adjustRightInd w:val="0"/>
              <w:snapToGrid w:val="0"/>
              <w:spacing w:line="500" w:lineRule="exact"/>
              <w:jc w:val="center"/>
              <w:rPr>
                <w:rFonts w:ascii="方正仿宋_GBK" w:hAnsi="Times New Roman" w:eastAsia="方正仿宋_GBK" w:cs="仿宋_GB2312"/>
                <w:sz w:val="32"/>
                <w:szCs w:val="32"/>
              </w:rPr>
            </w:pPr>
          </w:p>
        </w:tc>
      </w:tr>
      <w:tr>
        <w:tblPrEx>
          <w:tblLayout w:type="fixed"/>
          <w:tblCellMar>
            <w:top w:w="0" w:type="dxa"/>
            <w:left w:w="108" w:type="dxa"/>
            <w:bottom w:w="0" w:type="dxa"/>
            <w:right w:w="108" w:type="dxa"/>
          </w:tblCellMar>
        </w:tblPrEx>
        <w:trPr>
          <w:trHeight w:val="1134" w:hRule="exact"/>
          <w:jc w:val="center"/>
        </w:trPr>
        <w:tc>
          <w:tcPr>
            <w:tcW w:w="4788" w:type="dxa"/>
            <w:vAlign w:val="center"/>
          </w:tcPr>
          <w:p>
            <w:pPr>
              <w:adjustRightInd w:val="0"/>
              <w:snapToGrid w:val="0"/>
              <w:spacing w:line="500" w:lineRule="exact"/>
              <w:jc w:val="center"/>
              <w:rPr>
                <w:rFonts w:ascii="方正仿宋_GBK" w:hAnsi="Times New Roman" w:eastAsia="方正仿宋_GBK" w:cs="仿宋_GB2312"/>
                <w:sz w:val="32"/>
                <w:szCs w:val="32"/>
              </w:rPr>
            </w:pPr>
            <w:r>
              <w:rPr>
                <w:rFonts w:hint="eastAsia" w:ascii="方正仿宋_GBK" w:hAnsi="Times New Roman" w:eastAsia="方正仿宋_GBK" w:cs="仿宋_GB2312"/>
                <w:sz w:val="32"/>
                <w:szCs w:val="32"/>
              </w:rPr>
              <w:t>广东省科学技术协会</w:t>
            </w:r>
          </w:p>
        </w:tc>
        <w:tc>
          <w:tcPr>
            <w:tcW w:w="4680" w:type="dxa"/>
            <w:vAlign w:val="center"/>
          </w:tcPr>
          <w:p>
            <w:pPr>
              <w:adjustRightInd w:val="0"/>
              <w:snapToGrid w:val="0"/>
              <w:spacing w:line="500" w:lineRule="exact"/>
              <w:jc w:val="center"/>
              <w:rPr>
                <w:rFonts w:ascii="方正仿宋_GBK" w:hAnsi="Times New Roman" w:eastAsia="方正仿宋_GBK" w:cs="仿宋_GB2312"/>
                <w:sz w:val="32"/>
                <w:szCs w:val="32"/>
              </w:rPr>
            </w:pPr>
            <w:r>
              <w:rPr>
                <w:rFonts w:hint="eastAsia" w:ascii="方正仿宋_GBK" w:hAnsi="Times New Roman" w:eastAsia="方正仿宋_GBK" w:cs="仿宋_GB2312"/>
                <w:sz w:val="32"/>
                <w:szCs w:val="32"/>
              </w:rPr>
              <w:t>广东省学生联合会</w:t>
            </w:r>
          </w:p>
        </w:tc>
      </w:tr>
      <w:tr>
        <w:tblPrEx>
          <w:tblLayout w:type="fixed"/>
          <w:tblCellMar>
            <w:top w:w="0" w:type="dxa"/>
            <w:left w:w="108" w:type="dxa"/>
            <w:bottom w:w="0" w:type="dxa"/>
            <w:right w:w="108" w:type="dxa"/>
          </w:tblCellMar>
        </w:tblPrEx>
        <w:trPr>
          <w:trHeight w:val="1134" w:hRule="exact"/>
          <w:jc w:val="center"/>
        </w:trPr>
        <w:tc>
          <w:tcPr>
            <w:tcW w:w="4788" w:type="dxa"/>
            <w:vAlign w:val="center"/>
          </w:tcPr>
          <w:p>
            <w:pPr>
              <w:adjustRightInd w:val="0"/>
              <w:snapToGrid w:val="0"/>
              <w:spacing w:line="500" w:lineRule="exact"/>
              <w:jc w:val="center"/>
              <w:rPr>
                <w:rFonts w:ascii="Times New Roman" w:hAnsi="Times New Roman" w:eastAsia="仿宋_GB2312" w:cs="仿宋_GB2312"/>
                <w:sz w:val="32"/>
                <w:szCs w:val="32"/>
              </w:rPr>
            </w:pPr>
          </w:p>
        </w:tc>
        <w:tc>
          <w:tcPr>
            <w:tcW w:w="4680" w:type="dxa"/>
            <w:vAlign w:val="center"/>
          </w:tcPr>
          <w:p>
            <w:pPr>
              <w:adjustRightInd w:val="0"/>
              <w:snapToGrid w:val="0"/>
              <w:spacing w:line="500" w:lineRule="exact"/>
              <w:jc w:val="center"/>
              <w:rPr>
                <w:rFonts w:ascii="Times New Roman" w:hAnsi="Times New Roman" w:eastAsia="仿宋_GB2312" w:cs="仿宋_GB2312"/>
                <w:sz w:val="32"/>
                <w:szCs w:val="32"/>
              </w:rPr>
            </w:pPr>
          </w:p>
        </w:tc>
      </w:tr>
    </w:tbl>
    <w:p>
      <w:pPr>
        <w:spacing w:line="540" w:lineRule="exact"/>
        <w:ind w:firstLine="640" w:firstLineChars="200"/>
        <w:jc w:val="center"/>
        <w:rPr>
          <w:rFonts w:ascii="方正仿宋_GBK" w:hAnsi="Times New Roman" w:eastAsia="方正仿宋_GBK" w:cs="仿宋_GB2312"/>
          <w:sz w:val="32"/>
          <w:szCs w:val="32"/>
        </w:rPr>
      </w:pPr>
      <w:r>
        <w:rPr>
          <w:rFonts w:hint="eastAsia" w:ascii="方正仿宋_GBK" w:hAnsi="Times New Roman" w:eastAsia="方正仿宋_GBK" w:cs="仿宋_GB2312"/>
          <w:sz w:val="32"/>
          <w:szCs w:val="32"/>
        </w:rPr>
        <w:t>2018年4月</w:t>
      </w:r>
      <w:r>
        <w:rPr>
          <w:rFonts w:hint="eastAsia" w:ascii="方正仿宋_GBK" w:hAnsi="Times New Roman" w:eastAsia="方正仿宋_GBK" w:cs="仿宋_GB2312"/>
          <w:sz w:val="32"/>
          <w:szCs w:val="32"/>
          <w:lang w:val="en-US" w:eastAsia="zh-CN"/>
        </w:rPr>
        <w:t>4</w:t>
      </w:r>
      <w:r>
        <w:rPr>
          <w:rFonts w:hint="eastAsia" w:ascii="方正仿宋_GBK" w:hAnsi="Times New Roman" w:eastAsia="方正仿宋_GBK" w:cs="仿宋_GB2312"/>
          <w:sz w:val="32"/>
          <w:szCs w:val="32"/>
        </w:rPr>
        <w:t>日</w:t>
      </w:r>
      <w:r>
        <w:rPr>
          <w:rFonts w:hint="eastAsia" w:ascii="方正仿宋_GBK" w:hAnsi="Times New Roman" w:eastAsia="方正仿宋_GBK" w:cs="仿宋_GB2312"/>
          <w:sz w:val="32"/>
          <w:szCs w:val="32"/>
        </w:rPr>
        <w:br w:type="page"/>
      </w:r>
    </w:p>
    <w:p>
      <w:pPr>
        <w:widowControl/>
        <w:spacing w:line="560" w:lineRule="exact"/>
        <w:rPr>
          <w:rFonts w:ascii="方正黑体_GBK" w:hAnsi="黑体" w:eastAsia="方正黑体_GBK" w:cs="黑体"/>
          <w:kern w:val="0"/>
          <w:sz w:val="32"/>
          <w:szCs w:val="32"/>
        </w:rPr>
      </w:pPr>
      <w:r>
        <w:rPr>
          <w:rFonts w:hint="eastAsia" w:ascii="方正黑体_GBK" w:hAnsi="黑体" w:eastAsia="方正黑体_GBK" w:cs="黑体"/>
          <w:kern w:val="0"/>
          <w:sz w:val="32"/>
          <w:szCs w:val="32"/>
        </w:rPr>
        <w:t>附件1</w:t>
      </w:r>
    </w:p>
    <w:p>
      <w:pPr>
        <w:adjustRightInd w:val="0"/>
        <w:snapToGrid w:val="0"/>
        <w:jc w:val="center"/>
        <w:rPr>
          <w:rFonts w:ascii="方正小标宋简体" w:hAnsi="方正小标宋简体" w:eastAsia="方正小标宋简体" w:cs="方正小标宋简体"/>
          <w:bCs/>
          <w:w w:val="92"/>
          <w:kern w:val="0"/>
          <w:sz w:val="44"/>
          <w:szCs w:val="44"/>
        </w:rPr>
      </w:pPr>
      <w:r>
        <w:rPr>
          <w:rFonts w:hint="eastAsia" w:ascii="方正小标宋简体" w:hAnsi="方正小标宋简体" w:eastAsia="方正小标宋简体" w:cs="方正小标宋简体"/>
          <w:kern w:val="0"/>
          <w:sz w:val="44"/>
          <w:szCs w:val="44"/>
        </w:rPr>
        <w:t>“</w:t>
      </w:r>
      <w:r>
        <w:rPr>
          <w:rFonts w:hint="eastAsia" w:ascii="方正小标宋简体" w:hAnsi="方正小标宋简体" w:eastAsia="方正小标宋简体" w:cs="方正小标宋简体"/>
          <w:bCs/>
          <w:w w:val="92"/>
          <w:kern w:val="0"/>
          <w:sz w:val="44"/>
          <w:szCs w:val="44"/>
        </w:rPr>
        <w:t>挑战杯·创青春”广东大学生创业大赛</w:t>
      </w:r>
    </w:p>
    <w:p>
      <w:pPr>
        <w:adjustRightInd w:val="0"/>
        <w:snapToGrid w:val="0"/>
        <w:jc w:val="center"/>
        <w:rPr>
          <w:rFonts w:ascii="方正小标宋简体" w:hAnsi="方正小标宋简体" w:eastAsia="方正小标宋简体" w:cs="方正小标宋简体"/>
          <w:bCs/>
          <w:w w:val="92"/>
          <w:kern w:val="0"/>
          <w:sz w:val="44"/>
          <w:szCs w:val="44"/>
        </w:rPr>
      </w:pPr>
      <w:r>
        <w:rPr>
          <w:rFonts w:hint="eastAsia" w:ascii="方正小标宋简体" w:hAnsi="方正小标宋简体" w:eastAsia="方正小标宋简体" w:cs="方正小标宋简体"/>
          <w:bCs/>
          <w:w w:val="92"/>
          <w:kern w:val="0"/>
          <w:sz w:val="44"/>
          <w:szCs w:val="44"/>
        </w:rPr>
        <w:t>章</w:t>
      </w:r>
      <w:r>
        <w:rPr>
          <w:rFonts w:ascii="方正小标宋简体" w:hAnsi="方正小标宋简体" w:eastAsia="方正小标宋简体" w:cs="方正小标宋简体"/>
          <w:bCs/>
          <w:w w:val="92"/>
          <w:kern w:val="0"/>
          <w:sz w:val="44"/>
          <w:szCs w:val="44"/>
        </w:rPr>
        <w:t xml:space="preserve">    </w:t>
      </w:r>
      <w:r>
        <w:rPr>
          <w:rFonts w:hint="eastAsia" w:ascii="方正小标宋简体" w:hAnsi="方正小标宋简体" w:eastAsia="方正小标宋简体" w:cs="方正小标宋简体"/>
          <w:bCs/>
          <w:w w:val="92"/>
          <w:kern w:val="0"/>
          <w:sz w:val="44"/>
          <w:szCs w:val="44"/>
        </w:rPr>
        <w:t>程</w:t>
      </w:r>
    </w:p>
    <w:p>
      <w:pPr>
        <w:pStyle w:val="12"/>
        <w:snapToGrid w:val="0"/>
        <w:spacing w:line="520" w:lineRule="exact"/>
        <w:jc w:val="center"/>
        <w:rPr>
          <w:rFonts w:ascii="方正仿宋_GBK" w:eastAsia="方正仿宋_GBK"/>
          <w:color w:val="auto"/>
          <w:kern w:val="32"/>
          <w:sz w:val="32"/>
          <w:szCs w:val="32"/>
        </w:rPr>
      </w:pPr>
      <w:r>
        <w:rPr>
          <w:rFonts w:hint="eastAsia" w:ascii="方正仿宋_GBK" w:eastAsia="方正仿宋_GBK"/>
          <w:color w:val="auto"/>
          <w:kern w:val="32"/>
          <w:sz w:val="32"/>
          <w:szCs w:val="32"/>
        </w:rPr>
        <w:t>（草案）</w:t>
      </w:r>
    </w:p>
    <w:p>
      <w:pPr>
        <w:pStyle w:val="12"/>
        <w:snapToGrid w:val="0"/>
        <w:spacing w:line="520" w:lineRule="exact"/>
        <w:jc w:val="center"/>
        <w:rPr>
          <w:rFonts w:ascii="方正黑体_GBK" w:hAnsi="黑体" w:eastAsia="方正黑体_GBK"/>
          <w:color w:val="auto"/>
          <w:kern w:val="32"/>
          <w:sz w:val="32"/>
          <w:szCs w:val="32"/>
        </w:rPr>
      </w:pPr>
      <w:r>
        <w:rPr>
          <w:rFonts w:hint="eastAsia" w:ascii="方正黑体_GBK" w:hAnsi="黑体" w:eastAsia="方正黑体_GBK"/>
          <w:color w:val="auto"/>
          <w:kern w:val="32"/>
          <w:sz w:val="32"/>
          <w:szCs w:val="32"/>
        </w:rPr>
        <w:t>第一章 总则</w:t>
      </w:r>
    </w:p>
    <w:p>
      <w:pPr>
        <w:pStyle w:val="12"/>
        <w:snapToGrid w:val="0"/>
        <w:spacing w:line="520" w:lineRule="exact"/>
        <w:ind w:firstLine="643" w:firstLineChars="200"/>
        <w:jc w:val="both"/>
        <w:rPr>
          <w:rFonts w:ascii="方正仿宋_GBK" w:eastAsia="方正仿宋_GBK"/>
          <w:color w:val="auto"/>
          <w:kern w:val="32"/>
          <w:sz w:val="32"/>
          <w:szCs w:val="32"/>
        </w:rPr>
      </w:pPr>
      <w:r>
        <w:rPr>
          <w:rFonts w:hint="eastAsia" w:ascii="方正仿宋_GBK" w:eastAsia="方正仿宋_GBK"/>
          <w:b/>
          <w:color w:val="auto"/>
          <w:kern w:val="32"/>
          <w:sz w:val="32"/>
          <w:szCs w:val="32"/>
        </w:rPr>
        <w:t>第一条</w:t>
      </w:r>
      <w:r>
        <w:rPr>
          <w:rFonts w:hint="eastAsia" w:ascii="方正仿宋_GBK" w:eastAsia="方正仿宋_GBK"/>
          <w:color w:val="auto"/>
          <w:kern w:val="32"/>
          <w:sz w:val="32"/>
          <w:szCs w:val="32"/>
        </w:rPr>
        <w:t xml:space="preserve">  “挑战杯·创青春”广东大学生创业大赛是由共青团东省委员会、广东省人力资源和社会保障厅、广东省教育厅、广东省科学技术厅、广东省科学技术协会、广东省学生联合会主办，参赛高校承办的一项具有导向性、示范性和群众性的创业竞赛活动，每两年举办一届。“挑战杯·创青春”广东大学生创业大赛同时作为“创青春”广东青年创新创业大赛的高校组赛事和“挑战杯·创青春”大学生创业大赛广东省预赛。</w:t>
      </w:r>
    </w:p>
    <w:p>
      <w:pPr>
        <w:pStyle w:val="12"/>
        <w:snapToGrid w:val="0"/>
        <w:spacing w:line="520" w:lineRule="exact"/>
        <w:ind w:firstLine="643" w:firstLineChars="200"/>
        <w:jc w:val="both"/>
        <w:rPr>
          <w:rFonts w:ascii="方正仿宋_GBK" w:eastAsia="方正仿宋_GBK"/>
          <w:color w:val="auto"/>
          <w:kern w:val="32"/>
          <w:sz w:val="32"/>
          <w:szCs w:val="32"/>
        </w:rPr>
      </w:pPr>
      <w:r>
        <w:rPr>
          <w:rFonts w:hint="eastAsia" w:ascii="方正仿宋_GBK" w:eastAsia="方正仿宋_GBK"/>
          <w:b/>
          <w:color w:val="auto"/>
          <w:kern w:val="32"/>
          <w:sz w:val="32"/>
          <w:szCs w:val="32"/>
        </w:rPr>
        <w:t>第二条</w:t>
      </w:r>
      <w:r>
        <w:rPr>
          <w:rFonts w:hint="eastAsia" w:ascii="方正仿宋_GBK" w:eastAsia="方正仿宋_GBK"/>
          <w:color w:val="auto"/>
          <w:kern w:val="32"/>
          <w:sz w:val="32"/>
          <w:szCs w:val="32"/>
        </w:rPr>
        <w:t xml:space="preserve">  大赛宗旨：培养创新意识、启迪创意思维、提升创造能力、造就创业人才。</w:t>
      </w:r>
    </w:p>
    <w:p>
      <w:pPr>
        <w:pStyle w:val="12"/>
        <w:snapToGrid w:val="0"/>
        <w:spacing w:line="520" w:lineRule="exact"/>
        <w:ind w:firstLine="643" w:firstLineChars="200"/>
        <w:jc w:val="both"/>
        <w:rPr>
          <w:rFonts w:ascii="方正仿宋_GBK" w:eastAsia="方正仿宋_GBK"/>
          <w:color w:val="auto"/>
          <w:kern w:val="32"/>
          <w:sz w:val="32"/>
          <w:szCs w:val="32"/>
        </w:rPr>
      </w:pPr>
      <w:r>
        <w:rPr>
          <w:rFonts w:hint="eastAsia" w:ascii="方正仿宋_GBK" w:eastAsia="方正仿宋_GBK"/>
          <w:b/>
          <w:color w:val="auto"/>
          <w:kern w:val="32"/>
          <w:sz w:val="32"/>
          <w:szCs w:val="32"/>
        </w:rPr>
        <w:t>第三条</w:t>
      </w:r>
      <w:r>
        <w:rPr>
          <w:rFonts w:hint="eastAsia" w:ascii="方正仿宋_GBK" w:eastAsia="方正仿宋_GBK"/>
          <w:color w:val="auto"/>
          <w:kern w:val="32"/>
          <w:sz w:val="32"/>
          <w:szCs w:val="32"/>
        </w:rPr>
        <w:t xml:space="preserve">  大赛目的：引导和激励高校学生弘扬时代精神，把握时代脉搏，将所学知识与经济社会发展紧密结合，培养和提高创新、创意、创造、创业的意识和能力，促进高校学生就业创业教育、创业实践活动的蓬勃开展，发现和培养一批具有创新思维和创业潜力的优秀人才，帮助更多高校学生通过创业创新的实际行动为实现中国梦贡献力量。</w:t>
      </w:r>
    </w:p>
    <w:p>
      <w:pPr>
        <w:pStyle w:val="12"/>
        <w:snapToGrid w:val="0"/>
        <w:spacing w:line="520" w:lineRule="exact"/>
        <w:ind w:firstLine="643" w:firstLineChars="200"/>
        <w:jc w:val="both"/>
        <w:rPr>
          <w:rFonts w:ascii="方正仿宋_GBK" w:eastAsia="方正仿宋_GBK"/>
          <w:color w:val="auto"/>
          <w:kern w:val="32"/>
          <w:sz w:val="32"/>
          <w:szCs w:val="32"/>
        </w:rPr>
      </w:pPr>
      <w:r>
        <w:rPr>
          <w:rFonts w:hint="eastAsia" w:ascii="方正仿宋_GBK" w:eastAsia="方正仿宋_GBK"/>
          <w:b/>
          <w:color w:val="auto"/>
          <w:kern w:val="32"/>
          <w:sz w:val="32"/>
          <w:szCs w:val="32"/>
        </w:rPr>
        <w:t>第四条</w:t>
      </w:r>
      <w:r>
        <w:rPr>
          <w:rFonts w:hint="eastAsia" w:ascii="方正仿宋_GBK" w:eastAsia="方正仿宋_GBK"/>
          <w:color w:val="auto"/>
          <w:kern w:val="32"/>
          <w:sz w:val="32"/>
          <w:szCs w:val="32"/>
        </w:rPr>
        <w:t xml:space="preserve">  大赛内容：下设大学生创业计划竞赛、创业实践挑战赛、公益创业赛等3项主体赛事。</w:t>
      </w:r>
    </w:p>
    <w:p>
      <w:pPr>
        <w:pStyle w:val="12"/>
        <w:snapToGrid w:val="0"/>
        <w:spacing w:line="520" w:lineRule="exact"/>
        <w:ind w:firstLine="643" w:firstLineChars="200"/>
        <w:jc w:val="both"/>
        <w:rPr>
          <w:rFonts w:ascii="方正仿宋_GBK" w:eastAsia="方正仿宋_GBK"/>
          <w:color w:val="auto"/>
          <w:kern w:val="32"/>
          <w:sz w:val="32"/>
          <w:szCs w:val="32"/>
        </w:rPr>
      </w:pPr>
      <w:r>
        <w:rPr>
          <w:rFonts w:hint="eastAsia" w:ascii="方正仿宋_GBK" w:eastAsia="方正仿宋_GBK"/>
          <w:b/>
          <w:color w:val="auto"/>
          <w:kern w:val="32"/>
          <w:sz w:val="32"/>
          <w:szCs w:val="32"/>
        </w:rPr>
        <w:t>第五条</w:t>
      </w:r>
      <w:r>
        <w:rPr>
          <w:rFonts w:hint="eastAsia" w:ascii="方正仿宋_GBK" w:eastAsia="方正仿宋_GBK"/>
          <w:color w:val="auto"/>
          <w:kern w:val="32"/>
          <w:sz w:val="32"/>
          <w:szCs w:val="32"/>
        </w:rPr>
        <w:t xml:space="preserve">  大赛基本方式：</w:t>
      </w:r>
      <w:r>
        <w:rPr>
          <w:rFonts w:hint="eastAsia" w:ascii="方正仿宋_GBK" w:eastAsia="方正仿宋_GBK"/>
          <w:color w:val="auto"/>
          <w:sz w:val="32"/>
          <w:szCs w:val="32"/>
        </w:rPr>
        <w:t>大学生创业计划竞赛面向高等院校在校学生，以商业计划书评审、现场答辩等作为参赛项目的主要评价内容；创业实践挑战赛面向高等学校在校学生或毕业未满3年的高校毕业生，且应已投入实际创业3个月以上，以盈利状况、发展前景等作为参赛项目的主要评价内容；公益创业赛面向高等学校在校学生，以创办非盈利性质社会组织的计划和实践等作为参赛项目的主要评价内容。竞赛组织委员会</w:t>
      </w:r>
      <w:r>
        <w:rPr>
          <w:rFonts w:hint="eastAsia" w:ascii="方正仿宋_GBK" w:eastAsia="方正仿宋_GBK"/>
          <w:color w:val="auto"/>
          <w:kern w:val="32"/>
          <w:sz w:val="32"/>
          <w:szCs w:val="32"/>
        </w:rPr>
        <w:t>聘请专家评定出具备一定操作性、应用性以及良好市场潜力、社会价值和发展前景的优秀项目，给予奖励；组织参赛项目和成果的交流、展览、转让活动。</w:t>
      </w:r>
    </w:p>
    <w:p>
      <w:pPr>
        <w:pStyle w:val="12"/>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color w:val="auto"/>
          <w:kern w:val="32"/>
          <w:sz w:val="32"/>
          <w:szCs w:val="32"/>
        </w:rPr>
        <w:t>在符合大赛宗旨、具有良好导向的前提下，可根据实际需要设立专项赛事，具体规则另行制定和颁布。</w:t>
      </w:r>
    </w:p>
    <w:p>
      <w:pPr>
        <w:pStyle w:val="12"/>
        <w:snapToGrid w:val="0"/>
        <w:spacing w:line="520" w:lineRule="exact"/>
        <w:ind w:firstLine="640" w:firstLineChars="200"/>
        <w:jc w:val="both"/>
        <w:rPr>
          <w:rFonts w:ascii="仿宋_GB2312" w:eastAsia="仿宋_GB2312"/>
          <w:color w:val="auto"/>
          <w:kern w:val="32"/>
          <w:sz w:val="32"/>
          <w:szCs w:val="32"/>
        </w:rPr>
      </w:pPr>
    </w:p>
    <w:p>
      <w:pPr>
        <w:pStyle w:val="12"/>
        <w:snapToGrid w:val="0"/>
        <w:spacing w:line="520" w:lineRule="exact"/>
        <w:jc w:val="center"/>
        <w:rPr>
          <w:rFonts w:ascii="方正黑体_GBK" w:hAnsi="黑体" w:eastAsia="方正黑体_GBK"/>
          <w:color w:val="auto"/>
          <w:kern w:val="32"/>
          <w:sz w:val="32"/>
          <w:szCs w:val="32"/>
        </w:rPr>
      </w:pPr>
      <w:r>
        <w:rPr>
          <w:rFonts w:hint="eastAsia" w:ascii="方正黑体_GBK" w:hAnsi="黑体" w:eastAsia="方正黑体_GBK"/>
          <w:color w:val="auto"/>
          <w:kern w:val="32"/>
          <w:sz w:val="32"/>
          <w:szCs w:val="32"/>
        </w:rPr>
        <w:t>第二章 组织机构及其职责</w:t>
      </w:r>
    </w:p>
    <w:p>
      <w:pPr>
        <w:pStyle w:val="12"/>
        <w:snapToGrid w:val="0"/>
        <w:spacing w:line="520" w:lineRule="exact"/>
        <w:ind w:firstLine="643" w:firstLineChars="200"/>
        <w:jc w:val="both"/>
        <w:rPr>
          <w:rFonts w:ascii="方正仿宋_GBK" w:eastAsia="方正仿宋_GBK"/>
          <w:color w:val="auto"/>
          <w:kern w:val="32"/>
          <w:sz w:val="32"/>
          <w:szCs w:val="32"/>
        </w:rPr>
      </w:pPr>
      <w:r>
        <w:rPr>
          <w:rFonts w:hint="eastAsia" w:ascii="方正仿宋_GBK" w:eastAsia="方正仿宋_GBK"/>
          <w:b/>
          <w:color w:val="auto"/>
          <w:kern w:val="32"/>
          <w:sz w:val="32"/>
          <w:szCs w:val="32"/>
        </w:rPr>
        <w:t>第六条</w:t>
      </w:r>
      <w:r>
        <w:rPr>
          <w:rFonts w:hint="eastAsia" w:ascii="方正仿宋_GBK" w:eastAsia="方正仿宋_GBK"/>
          <w:color w:val="auto"/>
          <w:kern w:val="32"/>
          <w:sz w:val="32"/>
          <w:szCs w:val="32"/>
        </w:rPr>
        <w:t xml:space="preserve">  大赛设立领导小组，由主办单位、承办单位的有关领导组成。</w:t>
      </w:r>
    </w:p>
    <w:p>
      <w:pPr>
        <w:pStyle w:val="12"/>
        <w:snapToGrid w:val="0"/>
        <w:spacing w:line="520" w:lineRule="exact"/>
        <w:ind w:firstLine="643" w:firstLineChars="200"/>
        <w:jc w:val="both"/>
        <w:rPr>
          <w:rFonts w:ascii="方正仿宋_GBK" w:eastAsia="方正仿宋_GBK"/>
          <w:color w:val="auto"/>
          <w:kern w:val="32"/>
          <w:sz w:val="32"/>
          <w:szCs w:val="32"/>
        </w:rPr>
      </w:pPr>
      <w:r>
        <w:rPr>
          <w:rFonts w:hint="eastAsia" w:ascii="方正仿宋_GBK" w:eastAsia="方正仿宋_GBK"/>
          <w:b/>
          <w:color w:val="auto"/>
          <w:kern w:val="32"/>
          <w:sz w:val="32"/>
          <w:szCs w:val="32"/>
        </w:rPr>
        <w:t>第七条</w:t>
      </w:r>
      <w:r>
        <w:rPr>
          <w:rFonts w:hint="eastAsia" w:ascii="方正仿宋_GBK" w:eastAsia="方正仿宋_GBK"/>
          <w:color w:val="auto"/>
          <w:kern w:val="32"/>
          <w:sz w:val="32"/>
          <w:szCs w:val="32"/>
        </w:rPr>
        <w:t xml:space="preserve">  大赛设立竞赛组织委员会，由主办单位、承办单位的有关负责人组成。竞赛组织委员会设主任、副主任若干名。</w:t>
      </w:r>
    </w:p>
    <w:p>
      <w:pPr>
        <w:pStyle w:val="12"/>
        <w:snapToGrid w:val="0"/>
        <w:spacing w:line="520" w:lineRule="exact"/>
        <w:ind w:firstLine="643" w:firstLineChars="200"/>
        <w:jc w:val="both"/>
        <w:rPr>
          <w:rFonts w:ascii="方正仿宋_GBK" w:eastAsia="方正仿宋_GBK"/>
          <w:color w:val="auto"/>
          <w:kern w:val="32"/>
          <w:sz w:val="32"/>
          <w:szCs w:val="32"/>
        </w:rPr>
      </w:pPr>
      <w:r>
        <w:rPr>
          <w:rFonts w:hint="eastAsia" w:ascii="方正仿宋_GBK" w:eastAsia="方正仿宋_GBK"/>
          <w:b/>
          <w:color w:val="auto"/>
          <w:kern w:val="32"/>
          <w:sz w:val="32"/>
          <w:szCs w:val="32"/>
        </w:rPr>
        <w:t>第八条</w:t>
      </w:r>
      <w:r>
        <w:rPr>
          <w:rFonts w:hint="eastAsia" w:ascii="方正仿宋_GBK" w:eastAsia="方正仿宋_GBK"/>
          <w:color w:val="auto"/>
          <w:kern w:val="32"/>
          <w:sz w:val="32"/>
          <w:szCs w:val="32"/>
        </w:rPr>
        <w:t xml:space="preserve">  竞赛组织委员会的职责如下：</w:t>
      </w:r>
    </w:p>
    <w:p>
      <w:pPr>
        <w:pStyle w:val="12"/>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color w:val="auto"/>
          <w:kern w:val="32"/>
          <w:sz w:val="32"/>
          <w:szCs w:val="32"/>
        </w:rPr>
        <w:t>1．审议、修改大赛章程；</w:t>
      </w:r>
    </w:p>
    <w:p>
      <w:pPr>
        <w:pStyle w:val="12"/>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color w:val="auto"/>
          <w:kern w:val="32"/>
          <w:sz w:val="32"/>
          <w:szCs w:val="32"/>
        </w:rPr>
        <w:t>2．筹集大赛组织、评审、奖励所需的经费；</w:t>
      </w:r>
    </w:p>
    <w:p>
      <w:pPr>
        <w:pStyle w:val="12"/>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color w:val="auto"/>
          <w:kern w:val="32"/>
          <w:sz w:val="32"/>
          <w:szCs w:val="32"/>
        </w:rPr>
        <w:t>3．议决其它应由竞赛组织委员会议决的事项。</w:t>
      </w:r>
    </w:p>
    <w:p>
      <w:pPr>
        <w:pStyle w:val="12"/>
        <w:snapToGrid w:val="0"/>
        <w:spacing w:line="520" w:lineRule="exact"/>
        <w:ind w:firstLine="643" w:firstLineChars="200"/>
        <w:jc w:val="both"/>
        <w:rPr>
          <w:rFonts w:ascii="方正仿宋_GBK" w:eastAsia="方正仿宋_GBK"/>
          <w:color w:val="auto"/>
          <w:kern w:val="32"/>
          <w:sz w:val="32"/>
          <w:szCs w:val="32"/>
        </w:rPr>
      </w:pPr>
      <w:r>
        <w:rPr>
          <w:rFonts w:hint="eastAsia" w:ascii="方正仿宋_GBK" w:eastAsia="方正仿宋_GBK"/>
          <w:b/>
          <w:color w:val="auto"/>
          <w:kern w:val="32"/>
          <w:sz w:val="32"/>
          <w:szCs w:val="32"/>
        </w:rPr>
        <w:t xml:space="preserve">第九条 </w:t>
      </w:r>
      <w:r>
        <w:rPr>
          <w:rFonts w:hint="eastAsia" w:ascii="方正仿宋_GBK" w:eastAsia="方正仿宋_GBK"/>
          <w:color w:val="auto"/>
          <w:kern w:val="32"/>
          <w:sz w:val="32"/>
          <w:szCs w:val="32"/>
        </w:rPr>
        <w:t xml:space="preserve"> 竞赛组织委员会下设办公室，负责按照竞赛组织委员会通过的章程组织大赛活动并向竞赛组织委员会报告工作。办公室设主任、副主任若干名，由主办单位、承办单位有关负责人担任。</w:t>
      </w:r>
    </w:p>
    <w:p>
      <w:pPr>
        <w:pStyle w:val="12"/>
        <w:snapToGrid w:val="0"/>
        <w:spacing w:line="520" w:lineRule="exact"/>
        <w:ind w:firstLine="643" w:firstLineChars="200"/>
        <w:jc w:val="both"/>
        <w:rPr>
          <w:rFonts w:ascii="方正仿宋_GBK" w:eastAsia="方正仿宋_GBK"/>
          <w:color w:val="auto"/>
          <w:kern w:val="32"/>
          <w:sz w:val="32"/>
          <w:szCs w:val="32"/>
        </w:rPr>
      </w:pPr>
      <w:r>
        <w:rPr>
          <w:rFonts w:hint="eastAsia" w:ascii="方正仿宋_GBK" w:eastAsia="方正仿宋_GBK"/>
          <w:b/>
          <w:color w:val="auto"/>
          <w:kern w:val="32"/>
          <w:sz w:val="32"/>
          <w:szCs w:val="32"/>
        </w:rPr>
        <w:t>第十条</w:t>
      </w:r>
      <w:r>
        <w:rPr>
          <w:rFonts w:hint="eastAsia" w:ascii="方正仿宋_GBK" w:eastAsia="方正仿宋_GBK"/>
          <w:color w:val="auto"/>
          <w:kern w:val="32"/>
          <w:sz w:val="32"/>
          <w:szCs w:val="32"/>
        </w:rPr>
        <w:t xml:space="preserve">  大赛设立竞赛评审委员会，</w:t>
      </w:r>
      <w:r>
        <w:rPr>
          <w:rFonts w:hint="eastAsia" w:ascii="方正仿宋_GBK" w:eastAsia="方正仿宋_GBK"/>
          <w:bCs/>
          <w:color w:val="auto"/>
          <w:kern w:val="2"/>
          <w:sz w:val="32"/>
          <w:szCs w:val="32"/>
        </w:rPr>
        <w:t>由竞赛组织委员会聘请的各相关领域专家学者、企业家、风险投资界人士、青年创业典型等组成</w:t>
      </w:r>
      <w:r>
        <w:rPr>
          <w:rFonts w:hint="eastAsia" w:ascii="方正仿宋_GBK" w:eastAsia="方正仿宋_GBK"/>
          <w:color w:val="auto"/>
          <w:kern w:val="32"/>
          <w:sz w:val="32"/>
          <w:szCs w:val="32"/>
        </w:rPr>
        <w:t>。竞赛评审委员会设主任、副主任和评审委员若干名。</w:t>
      </w:r>
    </w:p>
    <w:p>
      <w:pPr>
        <w:pStyle w:val="12"/>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color w:val="auto"/>
          <w:kern w:val="32"/>
          <w:sz w:val="32"/>
          <w:szCs w:val="32"/>
        </w:rPr>
        <w:t>竞赛评审委员会经竞赛组织委员会批准成立，有权在本章程和评审规则所规定的原则下，独立开展评审工作。</w:t>
      </w:r>
    </w:p>
    <w:p>
      <w:pPr>
        <w:pStyle w:val="12"/>
        <w:snapToGrid w:val="0"/>
        <w:spacing w:line="520" w:lineRule="exact"/>
        <w:ind w:firstLine="643" w:firstLineChars="200"/>
        <w:jc w:val="both"/>
        <w:rPr>
          <w:rFonts w:ascii="方正仿宋_GBK" w:eastAsia="方正仿宋_GBK"/>
          <w:color w:val="auto"/>
          <w:kern w:val="32"/>
          <w:sz w:val="32"/>
          <w:szCs w:val="32"/>
        </w:rPr>
      </w:pPr>
      <w:r>
        <w:rPr>
          <w:rFonts w:hint="eastAsia" w:ascii="方正仿宋_GBK" w:eastAsia="方正仿宋_GBK"/>
          <w:b/>
          <w:color w:val="auto"/>
          <w:kern w:val="32"/>
          <w:sz w:val="32"/>
          <w:szCs w:val="32"/>
        </w:rPr>
        <w:t>第十一条</w:t>
      </w:r>
      <w:r>
        <w:rPr>
          <w:rFonts w:hint="eastAsia" w:ascii="方正仿宋_GBK" w:eastAsia="方正仿宋_GBK"/>
          <w:color w:val="auto"/>
          <w:kern w:val="32"/>
          <w:sz w:val="32"/>
          <w:szCs w:val="32"/>
        </w:rPr>
        <w:t xml:space="preserve">  竞赛评审委员会职责如下：</w:t>
      </w:r>
    </w:p>
    <w:p>
      <w:pPr>
        <w:pStyle w:val="12"/>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color w:val="auto"/>
          <w:kern w:val="32"/>
          <w:sz w:val="32"/>
          <w:szCs w:val="32"/>
        </w:rPr>
        <w:t>1．在本章程和评审规则基础上制定评审实施细则；</w:t>
      </w:r>
    </w:p>
    <w:p>
      <w:pPr>
        <w:pStyle w:val="12"/>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color w:val="auto"/>
          <w:kern w:val="32"/>
          <w:sz w:val="32"/>
          <w:szCs w:val="32"/>
        </w:rPr>
        <w:t>2．接受对参赛项目资格的质疑投诉并进行判定；</w:t>
      </w:r>
    </w:p>
    <w:p>
      <w:pPr>
        <w:pStyle w:val="12"/>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color w:val="auto"/>
          <w:kern w:val="32"/>
          <w:sz w:val="32"/>
          <w:szCs w:val="32"/>
        </w:rPr>
        <w:t>3．审看参赛项目，与作者进行问辩；</w:t>
      </w:r>
    </w:p>
    <w:p>
      <w:pPr>
        <w:pStyle w:val="12"/>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color w:val="auto"/>
          <w:kern w:val="32"/>
          <w:sz w:val="32"/>
          <w:szCs w:val="32"/>
        </w:rPr>
        <w:t>4．确定参赛项目获奖等次。</w:t>
      </w:r>
    </w:p>
    <w:p>
      <w:pPr>
        <w:pStyle w:val="12"/>
        <w:snapToGrid w:val="0"/>
        <w:spacing w:line="520" w:lineRule="exact"/>
        <w:ind w:firstLine="643" w:firstLineChars="200"/>
        <w:jc w:val="both"/>
        <w:rPr>
          <w:rFonts w:ascii="方正仿宋_GBK" w:eastAsia="方正仿宋_GBK"/>
          <w:color w:val="auto"/>
          <w:kern w:val="32"/>
          <w:sz w:val="32"/>
          <w:szCs w:val="32"/>
        </w:rPr>
      </w:pPr>
      <w:r>
        <w:rPr>
          <w:rFonts w:hint="eastAsia" w:ascii="方正仿宋_GBK" w:eastAsia="方正仿宋_GBK"/>
          <w:b/>
          <w:color w:val="auto"/>
          <w:kern w:val="32"/>
          <w:sz w:val="32"/>
          <w:szCs w:val="32"/>
        </w:rPr>
        <w:t>第十二条</w:t>
      </w:r>
      <w:r>
        <w:rPr>
          <w:rFonts w:hint="eastAsia" w:ascii="方正仿宋_GBK" w:eastAsia="方正仿宋_GBK"/>
          <w:color w:val="auto"/>
          <w:kern w:val="32"/>
          <w:sz w:val="32"/>
          <w:szCs w:val="32"/>
        </w:rPr>
        <w:t xml:space="preserve">  各高校须根据自身实际，举办与省级大赛接轨的届次化的大学生创业大赛。</w:t>
      </w:r>
    </w:p>
    <w:p>
      <w:pPr>
        <w:pStyle w:val="12"/>
        <w:snapToGrid w:val="0"/>
        <w:spacing w:line="520" w:lineRule="exact"/>
        <w:jc w:val="both"/>
        <w:rPr>
          <w:rFonts w:ascii="仿宋_GB2312" w:eastAsia="仿宋_GB2312"/>
          <w:color w:val="auto"/>
          <w:kern w:val="32"/>
          <w:sz w:val="32"/>
          <w:szCs w:val="32"/>
        </w:rPr>
      </w:pPr>
    </w:p>
    <w:p>
      <w:pPr>
        <w:pStyle w:val="12"/>
        <w:snapToGrid w:val="0"/>
        <w:spacing w:line="520" w:lineRule="exact"/>
        <w:jc w:val="center"/>
        <w:rPr>
          <w:rFonts w:ascii="方正黑体_GBK" w:hAnsi="黑体" w:eastAsia="方正黑体_GBK"/>
          <w:color w:val="auto"/>
          <w:kern w:val="32"/>
          <w:sz w:val="32"/>
          <w:szCs w:val="32"/>
        </w:rPr>
      </w:pPr>
      <w:r>
        <w:rPr>
          <w:rFonts w:hint="eastAsia" w:ascii="方正黑体_GBK" w:hAnsi="黑体" w:eastAsia="方正黑体_GBK"/>
          <w:color w:val="auto"/>
          <w:kern w:val="32"/>
          <w:sz w:val="32"/>
          <w:szCs w:val="32"/>
        </w:rPr>
        <w:t>第三章 参赛资格与项目申报</w:t>
      </w:r>
    </w:p>
    <w:p>
      <w:pPr>
        <w:pStyle w:val="12"/>
        <w:snapToGrid w:val="0"/>
        <w:spacing w:line="520" w:lineRule="exact"/>
        <w:ind w:firstLine="643" w:firstLineChars="200"/>
        <w:jc w:val="both"/>
        <w:rPr>
          <w:rFonts w:ascii="方正仿宋_GBK" w:eastAsia="方正仿宋_GBK"/>
          <w:color w:val="auto"/>
          <w:kern w:val="32"/>
          <w:sz w:val="32"/>
          <w:szCs w:val="32"/>
        </w:rPr>
      </w:pPr>
      <w:r>
        <w:rPr>
          <w:rFonts w:hint="eastAsia" w:ascii="方正仿宋_GBK" w:eastAsia="方正仿宋_GBK"/>
          <w:b/>
          <w:color w:val="auto"/>
          <w:kern w:val="32"/>
          <w:sz w:val="32"/>
          <w:szCs w:val="32"/>
        </w:rPr>
        <w:t>第十三条</w:t>
      </w:r>
      <w:r>
        <w:rPr>
          <w:rFonts w:hint="eastAsia" w:ascii="方正仿宋_GBK" w:eastAsia="方正仿宋_GBK"/>
          <w:color w:val="auto"/>
          <w:kern w:val="32"/>
          <w:sz w:val="32"/>
          <w:szCs w:val="32"/>
        </w:rPr>
        <w:t xml:space="preserve">  凡在举办大赛终审决赛的当年7月1日以前正式注册的普通高等学历教育的高等学校在校专科生、本科生、硕士研究生和博士研究生（均不含在职研究生）可参加全部3项主体赛事；毕业3年以内（时间截至举办大赛终审决赛的当年7月1日）的专科生、本科生、硕士研究生和博士研究生可代表原所在高校参加创业实践挑战赛（需提供毕业证证明，仅可代表最终学历颁发高校参赛）。</w:t>
      </w:r>
    </w:p>
    <w:p>
      <w:pPr>
        <w:pStyle w:val="12"/>
        <w:tabs>
          <w:tab w:val="left" w:pos="2127"/>
        </w:tabs>
        <w:snapToGrid w:val="0"/>
        <w:spacing w:line="520" w:lineRule="exact"/>
        <w:ind w:firstLine="643" w:firstLineChars="200"/>
        <w:jc w:val="both"/>
        <w:rPr>
          <w:rFonts w:ascii="方正仿宋_GBK" w:eastAsia="方正仿宋_GBK"/>
          <w:color w:val="auto"/>
          <w:kern w:val="32"/>
          <w:sz w:val="32"/>
          <w:szCs w:val="32"/>
        </w:rPr>
      </w:pPr>
      <w:r>
        <w:rPr>
          <w:rFonts w:hint="eastAsia" w:ascii="方正仿宋_GBK" w:eastAsia="方正仿宋_GBK"/>
          <w:b/>
          <w:color w:val="auto"/>
          <w:kern w:val="32"/>
          <w:sz w:val="32"/>
          <w:szCs w:val="32"/>
        </w:rPr>
        <w:t>第十四条</w:t>
      </w:r>
      <w:r>
        <w:rPr>
          <w:rFonts w:hint="eastAsia" w:ascii="方正仿宋_GBK" w:eastAsia="方正仿宋_GBK"/>
          <w:color w:val="auto"/>
          <w:kern w:val="32"/>
          <w:sz w:val="32"/>
          <w:szCs w:val="32"/>
        </w:rPr>
        <w:t xml:space="preserve">  参赛项目的申报条件。</w:t>
      </w:r>
    </w:p>
    <w:p>
      <w:pPr>
        <w:pStyle w:val="12"/>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color w:val="auto"/>
          <w:kern w:val="32"/>
          <w:sz w:val="32"/>
          <w:szCs w:val="32"/>
        </w:rPr>
        <w:t>大学生创业计划竞赛：参加竞赛项目</w:t>
      </w:r>
      <w:r>
        <w:rPr>
          <w:rFonts w:hint="eastAsia" w:ascii="方正仿宋_GBK" w:eastAsia="方正仿宋_GBK" w:cs="方正仿宋简体"/>
          <w:bCs/>
          <w:color w:val="auto"/>
          <w:sz w:val="32"/>
          <w:szCs w:val="32"/>
        </w:rPr>
        <w:t>分为已创业与未创业两类；各个类别分为农林、畜牧、食品及相关产业，生物医药，化工技术和环境科学，信息技术和电子商务，材料，机械能源，文化创意和服务咨询等7个组别。</w:t>
      </w:r>
      <w:r>
        <w:rPr>
          <w:rFonts w:hint="eastAsia" w:ascii="方正仿宋_GBK" w:eastAsia="方正仿宋_GBK"/>
          <w:color w:val="auto"/>
          <w:kern w:val="32"/>
          <w:sz w:val="32"/>
          <w:szCs w:val="32"/>
        </w:rPr>
        <w:t>实行分类、分组申报。</w:t>
      </w:r>
    </w:p>
    <w:p>
      <w:pPr>
        <w:pStyle w:val="12"/>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color w:val="auto"/>
          <w:kern w:val="32"/>
          <w:sz w:val="32"/>
          <w:szCs w:val="32"/>
        </w:rPr>
        <w:t>拥有或授权拥有产品或服务，并已在工商、民政等政府部门注册登记为企业、个体工商户、民办非企业单位等组织形式，且法人代表或经营者为符合第十三条规定的在校学生、运营时间在3个月以上（截止至校内申报截止日期）的项目，可申报已创业类</w:t>
      </w:r>
      <w:r>
        <w:rPr>
          <w:rFonts w:hint="eastAsia" w:ascii="方正仿宋_GBK" w:eastAsia="方正仿宋_GBK" w:cs="方正仿宋简体"/>
          <w:bCs/>
          <w:color w:val="auto"/>
          <w:sz w:val="32"/>
          <w:szCs w:val="32"/>
        </w:rPr>
        <w:t>。</w:t>
      </w:r>
    </w:p>
    <w:p>
      <w:pPr>
        <w:pStyle w:val="12"/>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color w:val="auto"/>
          <w:kern w:val="32"/>
          <w:sz w:val="32"/>
          <w:szCs w:val="32"/>
        </w:rPr>
        <w:t>拥有或授权拥有产品或服务，具有核心团队，具备实施创业的基本条件，但尚未在工商、民政等政府部门注册登记或注册登记时间在3个月以下的项目，可申报未创业类。</w:t>
      </w:r>
    </w:p>
    <w:p>
      <w:pPr>
        <w:pStyle w:val="12"/>
        <w:snapToGrid w:val="0"/>
        <w:spacing w:line="520" w:lineRule="exact"/>
        <w:ind w:firstLine="640" w:firstLineChars="200"/>
        <w:jc w:val="both"/>
        <w:rPr>
          <w:rFonts w:ascii="方正仿宋_GBK" w:eastAsia="方正仿宋_GBK" w:cs="方正仿宋简体"/>
          <w:bCs/>
          <w:color w:val="auto"/>
          <w:sz w:val="32"/>
          <w:szCs w:val="32"/>
        </w:rPr>
      </w:pPr>
      <w:r>
        <w:rPr>
          <w:rFonts w:hint="eastAsia" w:ascii="方正仿宋_GBK" w:eastAsia="方正仿宋_GBK"/>
          <w:color w:val="auto"/>
          <w:kern w:val="32"/>
          <w:sz w:val="32"/>
          <w:szCs w:val="32"/>
        </w:rPr>
        <w:t>创业实践挑战赛：拥有或授权拥有产品或服务，并已在工商、民政等政府部门注册登记为企业、个体工商户、民办非企业单位等组织形式，且法人代表或经营者符合第十三条规定、运营时间在3个月以上（截止至校内申报截止日期）的项目，可申报该赛事</w:t>
      </w:r>
      <w:r>
        <w:rPr>
          <w:rFonts w:hint="eastAsia" w:ascii="方正仿宋_GBK" w:eastAsia="方正仿宋_GBK" w:cs="方正仿宋简体"/>
          <w:bCs/>
          <w:color w:val="auto"/>
          <w:sz w:val="32"/>
          <w:szCs w:val="32"/>
        </w:rPr>
        <w:t>。申报不区分具体类别、组别。</w:t>
      </w:r>
    </w:p>
    <w:p>
      <w:pPr>
        <w:pStyle w:val="12"/>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color w:val="auto"/>
          <w:sz w:val="32"/>
          <w:szCs w:val="32"/>
        </w:rPr>
        <w:t>公益创业赛：拥有较强的公益特征（有效解决社会问题，项目收益主要用于进一步扩大项目的范围、规模或水平）、创业特征（通过商业运作的方式，运用前期的少量资源撬动外界更广大的资源来解决社会问题，并形成可自身维持的商业模式）、实践特征（团队须实践其公益创业计划，形成可衡量的项目成果，部分或完全实现其计划的目标成果）的项目，且参赛学生符合第十三条规定，可申报该赛事。</w:t>
      </w:r>
      <w:r>
        <w:rPr>
          <w:rFonts w:hint="eastAsia" w:ascii="方正仿宋_GBK" w:eastAsia="方正仿宋_GBK" w:cs="方正仿宋简体"/>
          <w:bCs/>
          <w:color w:val="auto"/>
          <w:sz w:val="32"/>
          <w:szCs w:val="32"/>
        </w:rPr>
        <w:t>申报不区分具体类别、组别。</w:t>
      </w:r>
    </w:p>
    <w:p>
      <w:pPr>
        <w:pStyle w:val="12"/>
        <w:snapToGrid w:val="0"/>
        <w:spacing w:line="520" w:lineRule="exact"/>
        <w:ind w:firstLine="643" w:firstLineChars="200"/>
        <w:jc w:val="both"/>
        <w:rPr>
          <w:rFonts w:ascii="方正仿宋_GBK" w:eastAsia="方正仿宋_GBK"/>
          <w:color w:val="auto"/>
          <w:kern w:val="32"/>
          <w:sz w:val="32"/>
          <w:szCs w:val="32"/>
        </w:rPr>
      </w:pPr>
      <w:r>
        <w:rPr>
          <w:rFonts w:hint="eastAsia" w:ascii="方正仿宋_GBK" w:eastAsia="方正仿宋_GBK"/>
          <w:b/>
          <w:color w:val="auto"/>
          <w:kern w:val="32"/>
          <w:sz w:val="32"/>
          <w:szCs w:val="32"/>
        </w:rPr>
        <w:t>第十五条</w:t>
      </w:r>
      <w:r>
        <w:rPr>
          <w:rFonts w:hint="eastAsia" w:ascii="方正仿宋_GBK" w:eastAsia="方正仿宋_GBK"/>
          <w:color w:val="auto"/>
          <w:kern w:val="32"/>
          <w:sz w:val="32"/>
          <w:szCs w:val="32"/>
        </w:rPr>
        <w:t xml:space="preserve">  参赛形式：以学校为单位统一申报，以创业团队形式参赛，原则上每个团队人数不超过10人。网络出评开始后，只可进行人员删减，不可进行人员顺序调整及人员添加。</w:t>
      </w:r>
    </w:p>
    <w:p>
      <w:pPr>
        <w:pStyle w:val="12"/>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color w:val="auto"/>
          <w:kern w:val="32"/>
          <w:sz w:val="32"/>
          <w:szCs w:val="32"/>
        </w:rPr>
        <w:t>对于跨校组队参赛的项目，各成员须事先协商明确项目的申报单位。</w:t>
      </w:r>
    </w:p>
    <w:p>
      <w:pPr>
        <w:pStyle w:val="12"/>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color w:val="auto"/>
          <w:kern w:val="32"/>
          <w:sz w:val="32"/>
          <w:szCs w:val="32"/>
        </w:rPr>
        <w:t>对于经授权的发明创造或专利技术，在报名时需提交具有法律效力的发明创造或专利技术所有人的书面授权许可、项目鉴定证书、专利证书等。</w:t>
      </w:r>
    </w:p>
    <w:p>
      <w:pPr>
        <w:pStyle w:val="12"/>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color w:val="auto"/>
          <w:kern w:val="32"/>
          <w:sz w:val="32"/>
          <w:szCs w:val="32"/>
        </w:rPr>
        <w:t>对于已注册运营项目的，在报名时需提交相关证明材料（含单位概况、法定代表人情况、营业执照复印件、税务登记证复印件、组织机构代码复印件、开户许可证、财务报表等材料）。</w:t>
      </w:r>
    </w:p>
    <w:p>
      <w:pPr>
        <w:pStyle w:val="12"/>
        <w:snapToGrid w:val="0"/>
        <w:spacing w:line="520" w:lineRule="exact"/>
        <w:ind w:firstLine="643" w:firstLineChars="200"/>
        <w:jc w:val="both"/>
        <w:rPr>
          <w:rFonts w:ascii="方正仿宋_GBK" w:eastAsia="方正仿宋_GBK"/>
          <w:color w:val="auto"/>
          <w:kern w:val="32"/>
          <w:sz w:val="32"/>
          <w:szCs w:val="32"/>
        </w:rPr>
      </w:pPr>
      <w:r>
        <w:rPr>
          <w:rFonts w:hint="eastAsia" w:ascii="方正仿宋_GBK" w:eastAsia="方正仿宋_GBK"/>
          <w:b/>
          <w:color w:val="auto"/>
          <w:kern w:val="32"/>
          <w:sz w:val="32"/>
          <w:szCs w:val="32"/>
        </w:rPr>
        <w:t>第十六条</w:t>
      </w:r>
      <w:r>
        <w:rPr>
          <w:rFonts w:hint="eastAsia" w:ascii="方正仿宋_GBK" w:eastAsia="方正仿宋_GBK"/>
          <w:color w:val="auto"/>
          <w:kern w:val="32"/>
          <w:sz w:val="32"/>
          <w:szCs w:val="32"/>
        </w:rPr>
        <w:t xml:space="preserve">  参赛项目涉及下列内容时，必须由申报者提供有关部门的证明材料，否则不予评审。</w:t>
      </w:r>
    </w:p>
    <w:p>
      <w:pPr>
        <w:pStyle w:val="12"/>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color w:val="auto"/>
          <w:kern w:val="32"/>
          <w:sz w:val="32"/>
          <w:szCs w:val="32"/>
        </w:rPr>
        <w:t>动植物新品种的发现或培育，须有省级以上农科部门或科研院所开具证明。</w:t>
      </w:r>
    </w:p>
    <w:p>
      <w:pPr>
        <w:pStyle w:val="12"/>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color w:val="auto"/>
          <w:kern w:val="32"/>
          <w:sz w:val="32"/>
          <w:szCs w:val="32"/>
        </w:rPr>
        <w:t>对国家保护动植物的研究，须有省级以上林业部门开具证明，证明该项研究的过程中未产生对所研究的动植物繁衍、生长不利的影响。</w:t>
      </w:r>
    </w:p>
    <w:p>
      <w:pPr>
        <w:pStyle w:val="12"/>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color w:val="auto"/>
          <w:kern w:val="32"/>
          <w:sz w:val="32"/>
          <w:szCs w:val="32"/>
        </w:rPr>
        <w:t>新药物的研究须有卫生行政部门授权机构或具有同等资质机构的鉴定证明。</w:t>
      </w:r>
    </w:p>
    <w:p>
      <w:pPr>
        <w:pStyle w:val="12"/>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color w:val="auto"/>
          <w:kern w:val="32"/>
          <w:sz w:val="32"/>
          <w:szCs w:val="32"/>
        </w:rPr>
        <w:t>医疗卫生研究须通过专家鉴定，并最好附有在公开发行的专业性杂志上发表过的文章。</w:t>
      </w:r>
    </w:p>
    <w:p>
      <w:pPr>
        <w:pStyle w:val="12"/>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color w:val="auto"/>
          <w:kern w:val="32"/>
          <w:sz w:val="32"/>
          <w:szCs w:val="32"/>
        </w:rPr>
        <w:t>涉及燃气用具等与人民生命财产安全有关用具的研究，须有国家相应行政部门授权机构的认定证明。</w:t>
      </w:r>
    </w:p>
    <w:p>
      <w:pPr>
        <w:pStyle w:val="12"/>
        <w:snapToGrid w:val="0"/>
        <w:spacing w:line="520" w:lineRule="exact"/>
        <w:ind w:firstLine="643" w:firstLineChars="200"/>
        <w:jc w:val="both"/>
        <w:rPr>
          <w:rFonts w:ascii="方正仿宋_GBK" w:eastAsia="方正仿宋_GBK"/>
          <w:color w:val="auto"/>
          <w:kern w:val="32"/>
          <w:sz w:val="32"/>
          <w:szCs w:val="32"/>
        </w:rPr>
      </w:pPr>
      <w:r>
        <w:rPr>
          <w:rFonts w:hint="eastAsia" w:ascii="方正仿宋_GBK" w:eastAsia="方正仿宋_GBK"/>
          <w:b/>
          <w:color w:val="auto"/>
          <w:kern w:val="32"/>
          <w:sz w:val="32"/>
          <w:szCs w:val="32"/>
        </w:rPr>
        <w:t>第十七条</w:t>
      </w:r>
      <w:r>
        <w:rPr>
          <w:rFonts w:hint="eastAsia" w:ascii="方正仿宋_GBK" w:eastAsia="方正仿宋_GBK"/>
          <w:color w:val="auto"/>
          <w:kern w:val="32"/>
          <w:sz w:val="32"/>
          <w:szCs w:val="32"/>
        </w:rPr>
        <w:t xml:space="preserve">  </w:t>
      </w:r>
      <w:r>
        <w:rPr>
          <w:rFonts w:hint="eastAsia" w:ascii="方正仿宋_GBK" w:eastAsia="方正仿宋_GBK"/>
          <w:color w:val="auto"/>
          <w:sz w:val="32"/>
          <w:szCs w:val="32"/>
          <w:shd w:val="clear" w:color="auto" w:fill="FFFFFF"/>
        </w:rPr>
        <w:t>每个学校选送参加竞赛的作品数量由竞赛组委会办公室在闭会期间研究决定。</w:t>
      </w:r>
      <w:r>
        <w:rPr>
          <w:rFonts w:hint="eastAsia" w:ascii="方正仿宋_GBK" w:eastAsia="方正仿宋_GBK"/>
          <w:color w:val="auto"/>
          <w:kern w:val="32"/>
          <w:sz w:val="32"/>
          <w:szCs w:val="32"/>
        </w:rPr>
        <w:t>每人（每个团队）限报1件；每个参赛项目只可选择参加一项主体赛事，不得兼报。专项竞赛名额另计。</w:t>
      </w:r>
    </w:p>
    <w:p>
      <w:pPr>
        <w:pStyle w:val="12"/>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color w:val="auto"/>
          <w:kern w:val="32"/>
          <w:sz w:val="32"/>
          <w:szCs w:val="32"/>
        </w:rPr>
        <w:t>参赛项目须经过本校组织协调委员会进行资格及形式审查和评审委员会初步评定，方可上报竞赛组织委员会办公室。如给竞赛组织委员会审查参赛资格不符，取消该项目参赛资格，所在学校不得补报替换项目。各校选送省级大赛的项目数额由主办单位统一确定。</w:t>
      </w:r>
    </w:p>
    <w:p>
      <w:pPr>
        <w:pStyle w:val="12"/>
        <w:snapToGrid w:val="0"/>
        <w:spacing w:line="520" w:lineRule="exact"/>
        <w:jc w:val="both"/>
        <w:rPr>
          <w:rFonts w:ascii="方正仿宋_GBK" w:eastAsia="方正仿宋_GBK"/>
          <w:color w:val="auto"/>
          <w:kern w:val="32"/>
          <w:sz w:val="32"/>
          <w:szCs w:val="32"/>
        </w:rPr>
      </w:pPr>
    </w:p>
    <w:p>
      <w:pPr>
        <w:pStyle w:val="12"/>
        <w:snapToGrid w:val="0"/>
        <w:spacing w:line="520" w:lineRule="exact"/>
        <w:jc w:val="center"/>
        <w:rPr>
          <w:rFonts w:ascii="方正黑体_GBK" w:hAnsi="黑体" w:eastAsia="方正黑体_GBK"/>
          <w:color w:val="auto"/>
          <w:kern w:val="32"/>
          <w:sz w:val="32"/>
          <w:szCs w:val="32"/>
        </w:rPr>
      </w:pPr>
      <w:r>
        <w:rPr>
          <w:rFonts w:hint="eastAsia" w:ascii="方正黑体_GBK" w:hAnsi="黑体" w:eastAsia="方正黑体_GBK"/>
          <w:color w:val="auto"/>
          <w:kern w:val="32"/>
          <w:sz w:val="32"/>
          <w:szCs w:val="32"/>
        </w:rPr>
        <w:t>第四章 展览、交流、孵化</w:t>
      </w:r>
    </w:p>
    <w:p>
      <w:pPr>
        <w:pStyle w:val="12"/>
        <w:snapToGrid w:val="0"/>
        <w:spacing w:line="520" w:lineRule="exact"/>
        <w:ind w:firstLine="643" w:firstLineChars="200"/>
        <w:jc w:val="both"/>
        <w:rPr>
          <w:rFonts w:ascii="方正仿宋_GBK" w:eastAsia="方正仿宋_GBK"/>
          <w:color w:val="auto"/>
          <w:kern w:val="32"/>
          <w:sz w:val="32"/>
          <w:szCs w:val="32"/>
        </w:rPr>
      </w:pPr>
      <w:r>
        <w:rPr>
          <w:rFonts w:hint="eastAsia" w:ascii="方正仿宋_GBK" w:eastAsia="方正仿宋_GBK"/>
          <w:b/>
          <w:color w:val="auto"/>
          <w:kern w:val="32"/>
          <w:sz w:val="32"/>
          <w:szCs w:val="32"/>
        </w:rPr>
        <w:t>第十八条</w:t>
      </w:r>
      <w:r>
        <w:rPr>
          <w:rFonts w:hint="eastAsia" w:ascii="方正仿宋_GBK" w:eastAsia="方正仿宋_GBK"/>
          <w:color w:val="auto"/>
          <w:kern w:val="32"/>
          <w:sz w:val="32"/>
          <w:szCs w:val="32"/>
        </w:rPr>
        <w:t xml:space="preserve">  竞赛组织委员会将在大赛举办期间组织多种形式的交流、展示活动和其它活动，丰富大赛内容。</w:t>
      </w:r>
    </w:p>
    <w:p>
      <w:pPr>
        <w:pStyle w:val="12"/>
        <w:snapToGrid w:val="0"/>
        <w:spacing w:line="520" w:lineRule="exact"/>
        <w:ind w:firstLine="643" w:firstLineChars="200"/>
        <w:jc w:val="both"/>
        <w:rPr>
          <w:rFonts w:ascii="方正仿宋_GBK" w:eastAsia="方正仿宋_GBK"/>
          <w:color w:val="auto"/>
          <w:kern w:val="32"/>
          <w:sz w:val="32"/>
          <w:szCs w:val="32"/>
        </w:rPr>
      </w:pPr>
      <w:r>
        <w:rPr>
          <w:rFonts w:hint="eastAsia" w:ascii="方正仿宋_GBK" w:eastAsia="方正仿宋_GBK"/>
          <w:b/>
          <w:color w:val="auto"/>
          <w:kern w:val="32"/>
          <w:sz w:val="32"/>
          <w:szCs w:val="32"/>
        </w:rPr>
        <w:t>第十九条</w:t>
      </w:r>
      <w:r>
        <w:rPr>
          <w:rFonts w:hint="eastAsia" w:ascii="方正仿宋_GBK" w:eastAsia="方正仿宋_GBK"/>
          <w:color w:val="auto"/>
          <w:kern w:val="32"/>
          <w:sz w:val="32"/>
          <w:szCs w:val="32"/>
        </w:rPr>
        <w:t xml:space="preserve">  竞赛组织委员会拥有组织转让及孵化获奖项目的优先权。成果产权及利益分配由学校和作者协商确定。竞赛组织委员会可结集出版大赛获奖项目及评委评语。</w:t>
      </w:r>
    </w:p>
    <w:p>
      <w:pPr>
        <w:pStyle w:val="12"/>
        <w:snapToGrid w:val="0"/>
        <w:spacing w:line="520" w:lineRule="exact"/>
        <w:ind w:firstLine="643" w:firstLineChars="200"/>
        <w:jc w:val="both"/>
        <w:rPr>
          <w:rFonts w:ascii="方正仿宋_GBK" w:eastAsia="方正仿宋_GBK"/>
          <w:color w:val="auto"/>
          <w:kern w:val="32"/>
          <w:sz w:val="32"/>
          <w:szCs w:val="32"/>
        </w:rPr>
      </w:pPr>
      <w:r>
        <w:rPr>
          <w:rFonts w:hint="eastAsia" w:ascii="方正仿宋_GBK" w:eastAsia="方正仿宋_GBK"/>
          <w:b/>
          <w:color w:val="auto"/>
          <w:kern w:val="32"/>
          <w:sz w:val="32"/>
          <w:szCs w:val="32"/>
        </w:rPr>
        <w:t>第二十条</w:t>
      </w:r>
      <w:r>
        <w:rPr>
          <w:rFonts w:hint="eastAsia" w:ascii="方正仿宋_GBK" w:eastAsia="方正仿宋_GBK"/>
          <w:color w:val="auto"/>
          <w:kern w:val="32"/>
          <w:sz w:val="32"/>
          <w:szCs w:val="32"/>
        </w:rPr>
        <w:t xml:space="preserve">  在每次大赛举办期间，竞赛组织委员会可根据实际需要联合地方政府、园区及风险投资机构举办项目对接和孵化活动，对大赛中涌现出的优秀项目优先转化。</w:t>
      </w:r>
    </w:p>
    <w:p>
      <w:pPr>
        <w:pStyle w:val="12"/>
        <w:snapToGrid w:val="0"/>
        <w:spacing w:line="520" w:lineRule="exact"/>
        <w:ind w:firstLine="643" w:firstLineChars="200"/>
        <w:jc w:val="both"/>
        <w:rPr>
          <w:rFonts w:ascii="方正仿宋_GBK" w:eastAsia="方正仿宋_GBK"/>
          <w:color w:val="auto"/>
          <w:kern w:val="32"/>
          <w:sz w:val="32"/>
          <w:szCs w:val="32"/>
        </w:rPr>
      </w:pPr>
      <w:r>
        <w:rPr>
          <w:rFonts w:hint="eastAsia" w:ascii="方正仿宋_GBK" w:eastAsia="方正仿宋_GBK"/>
          <w:b/>
          <w:color w:val="auto"/>
          <w:kern w:val="32"/>
          <w:sz w:val="32"/>
          <w:szCs w:val="32"/>
        </w:rPr>
        <w:t>第二十一条</w:t>
      </w:r>
      <w:r>
        <w:rPr>
          <w:rFonts w:hint="eastAsia" w:ascii="方正仿宋_GBK" w:eastAsia="方正仿宋_GBK"/>
          <w:color w:val="auto"/>
          <w:kern w:val="32"/>
          <w:sz w:val="32"/>
          <w:szCs w:val="32"/>
        </w:rPr>
        <w:t xml:space="preserve">  竞赛组织委员会将</w:t>
      </w:r>
      <w:r>
        <w:rPr>
          <w:rFonts w:hint="eastAsia" w:ascii="方正仿宋_GBK" w:eastAsia="方正仿宋_GBK"/>
          <w:bCs/>
          <w:color w:val="auto"/>
          <w:kern w:val="32"/>
          <w:sz w:val="32"/>
          <w:szCs w:val="32"/>
        </w:rPr>
        <w:t>加强与有关方面特别是金融机构、风险投资机构和创业投资机构等方面的合作，并通过成立大学生创业联盟等，为高校学生通过参与大赛实现创业提供支持。</w:t>
      </w:r>
    </w:p>
    <w:p>
      <w:pPr>
        <w:pStyle w:val="12"/>
        <w:snapToGrid w:val="0"/>
        <w:spacing w:line="520" w:lineRule="exact"/>
        <w:ind w:firstLine="640" w:firstLineChars="200"/>
        <w:jc w:val="both"/>
        <w:rPr>
          <w:rFonts w:ascii="仿宋_GB2312" w:eastAsia="仿宋_GB2312"/>
          <w:color w:val="auto"/>
          <w:kern w:val="32"/>
          <w:sz w:val="32"/>
          <w:szCs w:val="32"/>
        </w:rPr>
      </w:pPr>
    </w:p>
    <w:p>
      <w:pPr>
        <w:pStyle w:val="12"/>
        <w:snapToGrid w:val="0"/>
        <w:spacing w:line="520" w:lineRule="exact"/>
        <w:jc w:val="center"/>
        <w:rPr>
          <w:rFonts w:ascii="方正黑体_GBK" w:hAnsi="黑体" w:eastAsia="方正黑体_GBK"/>
          <w:color w:val="auto"/>
          <w:kern w:val="32"/>
          <w:sz w:val="32"/>
          <w:szCs w:val="32"/>
        </w:rPr>
      </w:pPr>
      <w:r>
        <w:rPr>
          <w:rFonts w:hint="eastAsia" w:ascii="方正黑体_GBK" w:hAnsi="黑体" w:eastAsia="方正黑体_GBK"/>
          <w:color w:val="auto"/>
          <w:kern w:val="32"/>
          <w:sz w:val="32"/>
          <w:szCs w:val="32"/>
        </w:rPr>
        <w:t>第五章 奖励</w:t>
      </w:r>
    </w:p>
    <w:p>
      <w:pPr>
        <w:pStyle w:val="12"/>
        <w:snapToGrid w:val="0"/>
        <w:spacing w:line="520" w:lineRule="exact"/>
        <w:ind w:firstLine="643" w:firstLineChars="200"/>
        <w:jc w:val="both"/>
        <w:rPr>
          <w:rFonts w:ascii="方正仿宋_GBK" w:eastAsia="方正仿宋_GBK"/>
          <w:color w:val="auto"/>
          <w:kern w:val="32"/>
          <w:sz w:val="32"/>
          <w:szCs w:val="32"/>
        </w:rPr>
      </w:pPr>
      <w:r>
        <w:rPr>
          <w:rFonts w:hint="eastAsia" w:ascii="方正仿宋_GBK" w:eastAsia="方正仿宋_GBK"/>
          <w:b/>
          <w:color w:val="auto"/>
          <w:kern w:val="32"/>
          <w:sz w:val="32"/>
          <w:szCs w:val="32"/>
        </w:rPr>
        <w:t>第二十二条</w:t>
      </w:r>
      <w:r>
        <w:rPr>
          <w:rFonts w:hint="eastAsia" w:ascii="方正仿宋_GBK" w:eastAsia="方正仿宋_GBK"/>
          <w:color w:val="auto"/>
          <w:kern w:val="32"/>
          <w:sz w:val="32"/>
          <w:szCs w:val="32"/>
        </w:rPr>
        <w:t xml:space="preserve">  竞赛评审委员会对各高校报送的3项主体赛事的</w:t>
      </w:r>
      <w:r>
        <w:rPr>
          <w:rFonts w:hint="eastAsia" w:ascii="方正仿宋_GBK" w:eastAsia="方正仿宋_GBK" w:cs="方正仿宋简体"/>
          <w:bCs/>
          <w:color w:val="auto"/>
          <w:sz w:val="32"/>
          <w:szCs w:val="32"/>
        </w:rPr>
        <w:t>参赛项目</w:t>
      </w:r>
      <w:r>
        <w:rPr>
          <w:rFonts w:hint="eastAsia" w:ascii="方正仿宋_GBK" w:eastAsia="方正仿宋_GBK"/>
          <w:color w:val="auto"/>
          <w:kern w:val="32"/>
          <w:sz w:val="32"/>
          <w:szCs w:val="32"/>
        </w:rPr>
        <w:t>进行复审，分别评出参赛项目的70%左右进入决赛。3项主体赛事的奖项设置统</w:t>
      </w:r>
      <w:r>
        <w:rPr>
          <w:rFonts w:hint="eastAsia" w:ascii="方正仿宋_GBK" w:eastAsia="方正仿宋_GBK" w:cs="方正仿宋简体"/>
          <w:bCs/>
          <w:color w:val="auto"/>
          <w:sz w:val="32"/>
          <w:szCs w:val="32"/>
        </w:rPr>
        <w:t>一为金奖、银奖、铜奖，分别约占进入决赛项目总数的10%、30%和60%。</w:t>
      </w:r>
    </w:p>
    <w:p>
      <w:pPr>
        <w:pStyle w:val="12"/>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color w:val="auto"/>
          <w:kern w:val="32"/>
          <w:sz w:val="32"/>
          <w:szCs w:val="32"/>
        </w:rPr>
        <w:t>其中，大学生创业计划竞赛实行分类、分组申报，</w:t>
      </w:r>
      <w:r>
        <w:rPr>
          <w:rFonts w:hint="eastAsia" w:ascii="方正仿宋_GBK" w:eastAsia="方正仿宋_GBK"/>
          <w:bCs/>
          <w:color w:val="auto"/>
          <w:kern w:val="32"/>
          <w:sz w:val="32"/>
          <w:szCs w:val="32"/>
        </w:rPr>
        <w:t>针对</w:t>
      </w:r>
      <w:r>
        <w:rPr>
          <w:rFonts w:hint="eastAsia" w:ascii="方正仿宋_GBK" w:eastAsia="方正仿宋_GBK" w:cs="方正仿宋简体"/>
          <w:bCs/>
          <w:color w:val="auto"/>
          <w:sz w:val="32"/>
          <w:szCs w:val="32"/>
        </w:rPr>
        <w:t>已创业与未创业两类项目</w:t>
      </w:r>
      <w:r>
        <w:rPr>
          <w:rFonts w:hint="eastAsia" w:ascii="方正仿宋_GBK" w:eastAsia="方正仿宋_GBK"/>
          <w:bCs/>
          <w:color w:val="auto"/>
          <w:kern w:val="32"/>
          <w:sz w:val="32"/>
          <w:szCs w:val="32"/>
        </w:rPr>
        <w:t>实行相同的评审规则，</w:t>
      </w:r>
      <w:r>
        <w:rPr>
          <w:rFonts w:hint="eastAsia" w:ascii="方正仿宋_GBK" w:eastAsia="方正仿宋_GBK"/>
          <w:color w:val="auto"/>
          <w:kern w:val="32"/>
          <w:sz w:val="32"/>
          <w:szCs w:val="32"/>
        </w:rPr>
        <w:t>各组参赛项目获奖比例原则上相同</w:t>
      </w:r>
      <w:r>
        <w:rPr>
          <w:rFonts w:hint="eastAsia" w:ascii="方正仿宋_GBK" w:eastAsia="方正仿宋_GBK"/>
          <w:bCs/>
          <w:color w:val="auto"/>
          <w:kern w:val="32"/>
          <w:sz w:val="32"/>
          <w:szCs w:val="32"/>
        </w:rPr>
        <w:t>；计算总分时，将视已创业项目实际运营情况，在其实得总分基础上给予1%至5%的加分</w:t>
      </w:r>
      <w:r>
        <w:rPr>
          <w:rFonts w:hint="eastAsia" w:ascii="方正仿宋_GBK" w:eastAsia="方正仿宋_GBK"/>
          <w:color w:val="auto"/>
          <w:kern w:val="32"/>
          <w:sz w:val="32"/>
          <w:szCs w:val="32"/>
        </w:rPr>
        <w:t>。创业实践挑战赛、公益创业赛等2项主体赛事实行统一申报，决赛实行抽签分组，各组参赛项目获奖比例原则上相同。</w:t>
      </w:r>
    </w:p>
    <w:p>
      <w:pPr>
        <w:pStyle w:val="12"/>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color w:val="auto"/>
          <w:kern w:val="32"/>
          <w:sz w:val="32"/>
          <w:szCs w:val="32"/>
        </w:rPr>
        <w:t>专项赛事单独设置奖项，不计入所在学校得分。</w:t>
      </w:r>
    </w:p>
    <w:p>
      <w:pPr>
        <w:pStyle w:val="12"/>
        <w:snapToGrid w:val="0"/>
        <w:spacing w:line="520" w:lineRule="exact"/>
        <w:ind w:firstLine="643" w:firstLineChars="200"/>
        <w:jc w:val="both"/>
        <w:rPr>
          <w:rFonts w:ascii="方正仿宋_GBK" w:eastAsia="方正仿宋_GBK"/>
          <w:color w:val="auto"/>
          <w:kern w:val="32"/>
          <w:sz w:val="32"/>
          <w:szCs w:val="32"/>
        </w:rPr>
      </w:pPr>
      <w:r>
        <w:rPr>
          <w:rFonts w:hint="eastAsia" w:ascii="方正仿宋_GBK" w:eastAsia="方正仿宋_GBK"/>
          <w:b/>
          <w:color w:val="auto"/>
          <w:kern w:val="32"/>
          <w:sz w:val="32"/>
          <w:szCs w:val="32"/>
        </w:rPr>
        <w:t>第二十三条</w:t>
      </w:r>
      <w:r>
        <w:rPr>
          <w:rFonts w:hint="eastAsia" w:ascii="方正仿宋_GBK" w:eastAsia="方正仿宋_GBK"/>
          <w:color w:val="auto"/>
          <w:kern w:val="32"/>
          <w:sz w:val="32"/>
          <w:szCs w:val="32"/>
        </w:rPr>
        <w:t xml:space="preserve">  参加竞赛终审决赛的项目，确认资格有效的，由竞赛组织委员会向作者颁发证书，并视情况给予创业资金、专业指导、出国培训等奖励。</w:t>
      </w:r>
    </w:p>
    <w:p>
      <w:pPr>
        <w:widowControl/>
        <w:spacing w:line="520" w:lineRule="exact"/>
        <w:ind w:firstLine="643" w:firstLineChars="200"/>
        <w:rPr>
          <w:rFonts w:ascii="方正仿宋_GBK" w:hAnsi="Times New Roman" w:eastAsia="方正仿宋_GBK"/>
          <w:sz w:val="32"/>
          <w:szCs w:val="32"/>
        </w:rPr>
      </w:pPr>
      <w:r>
        <w:rPr>
          <w:rFonts w:hint="eastAsia" w:ascii="方正仿宋_GBK" w:hAnsi="Times New Roman" w:eastAsia="方正仿宋_GBK"/>
          <w:b/>
          <w:kern w:val="32"/>
          <w:sz w:val="32"/>
          <w:szCs w:val="32"/>
        </w:rPr>
        <w:t>第二十四条</w:t>
      </w:r>
      <w:r>
        <w:rPr>
          <w:rFonts w:hint="eastAsia" w:ascii="方正仿宋_GBK" w:hAnsi="Times New Roman" w:eastAsia="方正仿宋_GBK"/>
          <w:kern w:val="32"/>
          <w:sz w:val="32"/>
          <w:szCs w:val="32"/>
        </w:rPr>
        <w:t xml:space="preserve">  大赛以学校为单位计算参赛得分并排序，举办校级预赛的高校获基础分200分，</w:t>
      </w:r>
      <w:r>
        <w:rPr>
          <w:rFonts w:hint="eastAsia" w:ascii="方正仿宋_GBK" w:hAnsi="仿宋_GB2312" w:eastAsia="方正仿宋_GBK"/>
          <w:sz w:val="31"/>
          <w:shd w:val="clear" w:color="auto" w:fill="FFFFFF"/>
        </w:rPr>
        <w:t>在此基础上，累加各等次奖项积分算出总分。</w:t>
      </w:r>
    </w:p>
    <w:p>
      <w:pPr>
        <w:widowControl/>
        <w:spacing w:line="52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各等次奖计分方法如下：大学生创业计划竞赛的金奖项目每件计100分，银奖项目每件计70分，铜奖项目每件计30分，上报至竞赛</w:t>
      </w:r>
      <w:r>
        <w:rPr>
          <w:rFonts w:hint="eastAsia" w:ascii="方正仿宋_GBK" w:eastAsia="方正仿宋_GBK"/>
          <w:kern w:val="32"/>
          <w:sz w:val="32"/>
          <w:szCs w:val="32"/>
        </w:rPr>
        <w:t>组织委员会</w:t>
      </w:r>
      <w:r>
        <w:rPr>
          <w:rFonts w:hint="eastAsia" w:ascii="方正仿宋_GBK" w:hAnsi="Times New Roman" w:eastAsia="方正仿宋_GBK"/>
          <w:sz w:val="32"/>
          <w:szCs w:val="32"/>
        </w:rPr>
        <w:t>但未通过复赛的项目每件计10分。</w:t>
      </w:r>
    </w:p>
    <w:p>
      <w:pPr>
        <w:widowControl/>
        <w:spacing w:line="52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创业实践挑战赛的金奖项目每件计120分，银奖项目每件计90分，铜奖项目每件计50分，上报至</w:t>
      </w:r>
      <w:r>
        <w:rPr>
          <w:rFonts w:hint="eastAsia" w:ascii="方正仿宋_GBK" w:eastAsia="方正仿宋_GBK"/>
          <w:kern w:val="32"/>
          <w:sz w:val="32"/>
          <w:szCs w:val="32"/>
        </w:rPr>
        <w:t>竞赛组织委员会</w:t>
      </w:r>
      <w:r>
        <w:rPr>
          <w:rFonts w:hint="eastAsia" w:ascii="方正仿宋_GBK" w:hAnsi="Times New Roman" w:eastAsia="方正仿宋_GBK"/>
          <w:sz w:val="32"/>
          <w:szCs w:val="32"/>
        </w:rPr>
        <w:t>但未通过复赛的项目每件计10分。</w:t>
      </w:r>
    </w:p>
    <w:p>
      <w:pPr>
        <w:widowControl/>
        <w:spacing w:line="52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公益创业赛的金奖项目每件计100分，银奖项目每件计70分，铜奖项目每件计30分，上报至</w:t>
      </w:r>
      <w:r>
        <w:rPr>
          <w:rFonts w:hint="eastAsia" w:ascii="方正仿宋_GBK" w:eastAsia="方正仿宋_GBK"/>
          <w:kern w:val="32"/>
          <w:sz w:val="32"/>
          <w:szCs w:val="32"/>
        </w:rPr>
        <w:t>竞赛组织委员会</w:t>
      </w:r>
      <w:r>
        <w:rPr>
          <w:rFonts w:hint="eastAsia" w:ascii="方正仿宋_GBK" w:hAnsi="Times New Roman" w:eastAsia="方正仿宋_GBK"/>
          <w:sz w:val="32"/>
          <w:szCs w:val="32"/>
        </w:rPr>
        <w:t>但未通过复赛的项目每件计10分。</w:t>
      </w:r>
    </w:p>
    <w:p>
      <w:pPr>
        <w:widowControl/>
        <w:spacing w:line="52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如遇总积分相等，则以获金奖的个数决定同一名次内的排序，以此类推至铜奖。</w:t>
      </w:r>
    </w:p>
    <w:p>
      <w:pPr>
        <w:pStyle w:val="12"/>
        <w:snapToGrid w:val="0"/>
        <w:spacing w:line="520" w:lineRule="exact"/>
        <w:ind w:firstLine="643" w:firstLineChars="200"/>
        <w:jc w:val="both"/>
        <w:rPr>
          <w:rFonts w:ascii="方正仿宋_GBK" w:eastAsia="方正仿宋_GBK"/>
          <w:color w:val="auto"/>
          <w:kern w:val="32"/>
          <w:sz w:val="32"/>
          <w:szCs w:val="32"/>
        </w:rPr>
      </w:pPr>
      <w:r>
        <w:rPr>
          <w:rFonts w:hint="eastAsia" w:ascii="方正仿宋_GBK" w:eastAsia="方正仿宋_GBK"/>
          <w:b/>
          <w:color w:val="auto"/>
          <w:kern w:val="32"/>
          <w:sz w:val="32"/>
          <w:szCs w:val="32"/>
        </w:rPr>
        <w:t>第二十五条</w:t>
      </w:r>
      <w:r>
        <w:rPr>
          <w:rFonts w:hint="eastAsia" w:ascii="方正仿宋_GBK" w:eastAsia="方正仿宋_GBK"/>
          <w:color w:val="auto"/>
          <w:kern w:val="32"/>
          <w:sz w:val="32"/>
          <w:szCs w:val="32"/>
        </w:rPr>
        <w:t xml:space="preserve">  在符合本章程有关规定的前提下，竞赛组织委员会可联合社会有关方面设立、评选单项奖。</w:t>
      </w:r>
    </w:p>
    <w:p>
      <w:pPr>
        <w:pStyle w:val="12"/>
        <w:snapToGrid w:val="0"/>
        <w:spacing w:line="520" w:lineRule="exact"/>
        <w:ind w:firstLine="643" w:firstLineChars="200"/>
        <w:jc w:val="both"/>
        <w:rPr>
          <w:rFonts w:ascii="方正仿宋_GBK" w:eastAsia="方正仿宋_GBK"/>
          <w:color w:val="auto"/>
          <w:kern w:val="32"/>
          <w:sz w:val="32"/>
          <w:szCs w:val="32"/>
        </w:rPr>
      </w:pPr>
      <w:r>
        <w:rPr>
          <w:rFonts w:hint="eastAsia" w:ascii="方正仿宋_GBK" w:eastAsia="方正仿宋_GBK"/>
          <w:b/>
          <w:bCs/>
          <w:color w:val="auto"/>
          <w:kern w:val="32"/>
          <w:sz w:val="32"/>
          <w:szCs w:val="32"/>
        </w:rPr>
        <w:t>第二十六条</w:t>
      </w:r>
      <w:r>
        <w:rPr>
          <w:rFonts w:hint="eastAsia" w:ascii="方正仿宋_GBK" w:eastAsia="方正仿宋_GBK"/>
          <w:color w:val="auto"/>
          <w:kern w:val="32"/>
          <w:sz w:val="32"/>
          <w:szCs w:val="32"/>
        </w:rPr>
        <w:t xml:space="preserve">  通过省级竞赛组织委员会推荐参加全国“挑战杯”大学生创业计划竞赛、创业实践挑战赛、公益创业赛的项目原则上需获得省级竞赛金奖。</w:t>
      </w:r>
    </w:p>
    <w:p>
      <w:pPr>
        <w:pStyle w:val="12"/>
        <w:snapToGrid w:val="0"/>
        <w:spacing w:line="520" w:lineRule="exact"/>
        <w:jc w:val="both"/>
        <w:rPr>
          <w:rFonts w:ascii="仿宋_GB2312" w:eastAsia="仿宋_GB2312"/>
          <w:color w:val="auto"/>
          <w:kern w:val="32"/>
          <w:sz w:val="32"/>
          <w:szCs w:val="32"/>
        </w:rPr>
      </w:pPr>
    </w:p>
    <w:p>
      <w:pPr>
        <w:pStyle w:val="12"/>
        <w:snapToGrid w:val="0"/>
        <w:spacing w:line="520" w:lineRule="exact"/>
        <w:jc w:val="center"/>
        <w:rPr>
          <w:rFonts w:ascii="方正黑体_GBK" w:hAnsi="黑体" w:eastAsia="方正黑体_GBK"/>
          <w:color w:val="auto"/>
          <w:kern w:val="32"/>
          <w:sz w:val="32"/>
          <w:szCs w:val="32"/>
        </w:rPr>
      </w:pPr>
      <w:r>
        <w:rPr>
          <w:rFonts w:hint="eastAsia" w:ascii="方正黑体_GBK" w:hAnsi="黑体" w:eastAsia="方正黑体_GBK"/>
          <w:color w:val="auto"/>
          <w:kern w:val="32"/>
          <w:sz w:val="32"/>
          <w:szCs w:val="32"/>
        </w:rPr>
        <w:t>第六章 附则</w:t>
      </w:r>
    </w:p>
    <w:p>
      <w:pPr>
        <w:pStyle w:val="12"/>
        <w:snapToGrid w:val="0"/>
        <w:spacing w:line="520" w:lineRule="exact"/>
        <w:ind w:firstLine="643" w:firstLineChars="200"/>
        <w:jc w:val="both"/>
        <w:rPr>
          <w:rFonts w:ascii="方正仿宋_GBK" w:eastAsia="方正仿宋_GBK"/>
          <w:color w:val="auto"/>
          <w:kern w:val="32"/>
          <w:sz w:val="32"/>
          <w:szCs w:val="32"/>
        </w:rPr>
      </w:pPr>
      <w:r>
        <w:rPr>
          <w:rFonts w:hint="eastAsia" w:ascii="方正仿宋_GBK" w:eastAsia="方正仿宋_GBK"/>
          <w:b/>
          <w:color w:val="auto"/>
          <w:kern w:val="32"/>
          <w:sz w:val="32"/>
          <w:szCs w:val="32"/>
        </w:rPr>
        <w:t>第二十七条</w:t>
      </w:r>
      <w:r>
        <w:rPr>
          <w:rFonts w:hint="eastAsia" w:ascii="方正仿宋_GBK" w:eastAsia="方正仿宋_GBK"/>
          <w:color w:val="auto"/>
          <w:kern w:val="32"/>
          <w:sz w:val="32"/>
          <w:szCs w:val="32"/>
        </w:rPr>
        <w:t xml:space="preserve">  大赛结束后，对获奖项目保留一个月的质疑投诉期。若收到投诉，大赛领导小组将委托主办单位有关部门进行调查。经调查，如确认该项目资格不符者，取消该项目获得的奖励，通报竞赛组织委员会成员单位；并视情节给予所在学校取消参赛资格或其它处罚。</w:t>
      </w:r>
    </w:p>
    <w:p>
      <w:pPr>
        <w:pStyle w:val="12"/>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color w:val="auto"/>
          <w:kern w:val="32"/>
          <w:sz w:val="32"/>
          <w:szCs w:val="32"/>
        </w:rPr>
        <w:t>大赛组委会不接受匿名投诉，将保护实名投诉人的合法权益。</w:t>
      </w:r>
    </w:p>
    <w:p>
      <w:pPr>
        <w:pStyle w:val="12"/>
        <w:snapToGrid w:val="0"/>
        <w:spacing w:line="520" w:lineRule="exact"/>
        <w:ind w:firstLine="643" w:firstLineChars="200"/>
        <w:jc w:val="both"/>
        <w:rPr>
          <w:rFonts w:ascii="方正仿宋_GBK" w:eastAsia="方正仿宋_GBK"/>
          <w:color w:val="auto"/>
          <w:kern w:val="32"/>
          <w:sz w:val="32"/>
          <w:szCs w:val="32"/>
        </w:rPr>
      </w:pPr>
      <w:r>
        <w:rPr>
          <w:rFonts w:hint="eastAsia" w:ascii="方正仿宋_GBK" w:eastAsia="方正仿宋_GBK"/>
          <w:b/>
          <w:color w:val="auto"/>
          <w:kern w:val="32"/>
          <w:sz w:val="32"/>
          <w:szCs w:val="32"/>
        </w:rPr>
        <w:t>第二十八条</w:t>
      </w:r>
      <w:r>
        <w:rPr>
          <w:rFonts w:hint="eastAsia" w:ascii="方正仿宋_GBK" w:eastAsia="方正仿宋_GBK"/>
          <w:color w:val="auto"/>
          <w:kern w:val="32"/>
          <w:sz w:val="32"/>
          <w:szCs w:val="32"/>
        </w:rPr>
        <w:t xml:space="preserve">  大赛承办单位有权以竞赛组织委员会名义寻求大赛及3项主体赛事的赞助。</w:t>
      </w:r>
    </w:p>
    <w:p>
      <w:pPr>
        <w:pStyle w:val="12"/>
        <w:snapToGrid w:val="0"/>
        <w:spacing w:line="520" w:lineRule="exact"/>
        <w:ind w:firstLine="643" w:firstLineChars="200"/>
        <w:rPr>
          <w:rFonts w:ascii="方正仿宋_GBK" w:eastAsia="方正仿宋_GBK"/>
          <w:color w:val="auto"/>
          <w:sz w:val="32"/>
          <w:szCs w:val="32"/>
          <w:shd w:val="clear" w:color="auto" w:fill="FFFFFF"/>
        </w:rPr>
      </w:pPr>
      <w:r>
        <w:rPr>
          <w:rFonts w:hint="eastAsia" w:ascii="方正仿宋_GBK" w:eastAsia="方正仿宋_GBK"/>
          <w:b/>
          <w:color w:val="auto"/>
          <w:kern w:val="32"/>
          <w:sz w:val="32"/>
          <w:szCs w:val="32"/>
        </w:rPr>
        <w:t>第二十九条</w:t>
      </w:r>
      <w:r>
        <w:rPr>
          <w:rFonts w:hint="eastAsia" w:ascii="方正仿宋_GBK" w:eastAsia="方正仿宋_GBK"/>
          <w:color w:val="auto"/>
          <w:kern w:val="32"/>
          <w:sz w:val="32"/>
          <w:szCs w:val="32"/>
        </w:rPr>
        <w:t xml:space="preserve">  </w:t>
      </w:r>
      <w:r>
        <w:rPr>
          <w:rFonts w:hint="eastAsia" w:ascii="方正仿宋_GBK" w:eastAsia="方正仿宋_GBK"/>
          <w:color w:val="auto"/>
          <w:sz w:val="32"/>
          <w:szCs w:val="32"/>
          <w:shd w:val="clear" w:color="auto" w:fill="FFFFFF"/>
        </w:rPr>
        <w:t>本章程将根据《“挑战杯·创青春”全国大学生创业大赛章程》修订。</w:t>
      </w:r>
    </w:p>
    <w:p>
      <w:pPr>
        <w:pStyle w:val="12"/>
        <w:snapToGrid w:val="0"/>
        <w:spacing w:line="520" w:lineRule="exact"/>
        <w:ind w:firstLine="643" w:firstLineChars="200"/>
        <w:jc w:val="both"/>
        <w:rPr>
          <w:rFonts w:ascii="方正仿宋_GBK" w:eastAsia="方正仿宋_GBK"/>
          <w:color w:val="auto"/>
          <w:kern w:val="32"/>
          <w:sz w:val="32"/>
          <w:szCs w:val="32"/>
        </w:rPr>
      </w:pPr>
      <w:r>
        <w:rPr>
          <w:rFonts w:hint="eastAsia" w:ascii="方正仿宋_GBK" w:eastAsia="方正仿宋_GBK"/>
          <w:b/>
          <w:color w:val="auto"/>
          <w:kern w:val="32"/>
          <w:sz w:val="32"/>
          <w:szCs w:val="32"/>
        </w:rPr>
        <w:t>第三十条</w:t>
      </w:r>
      <w:r>
        <w:rPr>
          <w:rFonts w:hint="eastAsia" w:ascii="方正仿宋_GBK" w:eastAsia="方正仿宋_GBK"/>
          <w:color w:val="auto"/>
          <w:kern w:val="32"/>
          <w:sz w:val="32"/>
          <w:szCs w:val="32"/>
        </w:rPr>
        <w:t xml:space="preserve">  本章程自竞赛组织委员会通过之日起生效，由大赛主办单位及竞赛组织委员会办公室负责解释。</w:t>
      </w:r>
    </w:p>
    <w:p>
      <w:pPr>
        <w:pStyle w:val="12"/>
        <w:snapToGrid w:val="0"/>
        <w:spacing w:line="520" w:lineRule="exact"/>
        <w:ind w:firstLine="640" w:firstLineChars="200"/>
        <w:jc w:val="both"/>
        <w:rPr>
          <w:rFonts w:ascii="方正仿宋_GBK" w:eastAsia="方正仿宋_GBK"/>
          <w:color w:val="auto"/>
          <w:kern w:val="32"/>
          <w:sz w:val="32"/>
          <w:szCs w:val="32"/>
        </w:rPr>
      </w:pPr>
    </w:p>
    <w:p>
      <w:pPr>
        <w:pStyle w:val="12"/>
        <w:snapToGrid w:val="0"/>
        <w:spacing w:line="520" w:lineRule="exact"/>
        <w:ind w:firstLine="640" w:firstLineChars="200"/>
        <w:jc w:val="both"/>
        <w:rPr>
          <w:rFonts w:ascii="方正仿宋_GBK" w:eastAsia="方正仿宋_GBK"/>
          <w:color w:val="auto"/>
          <w:sz w:val="32"/>
          <w:szCs w:val="32"/>
        </w:rPr>
      </w:pPr>
    </w:p>
    <w:p>
      <w:pPr>
        <w:rPr>
          <w:rFonts w:ascii="方正仿宋_GBK" w:eastAsia="方正仿宋_GBK"/>
        </w:rPr>
      </w:pPr>
    </w:p>
    <w:p>
      <w:pPr>
        <w:widowControl/>
        <w:spacing w:line="560" w:lineRule="atLeast"/>
        <w:rPr>
          <w:rFonts w:ascii="方正黑体_GBK" w:hAnsi="黑体" w:eastAsia="方正黑体_GBK" w:cs="黑体"/>
          <w:kern w:val="0"/>
          <w:sz w:val="32"/>
          <w:szCs w:val="32"/>
        </w:rPr>
      </w:pPr>
      <w:r>
        <w:rPr>
          <w:rFonts w:hint="eastAsia" w:ascii="方正仿宋_GBK" w:hAnsi="Times New Roman" w:eastAsia="方正仿宋_GBK" w:cs="仿宋_GB2312"/>
          <w:sz w:val="32"/>
          <w:szCs w:val="32"/>
        </w:rPr>
        <w:br w:type="page"/>
      </w:r>
      <w:r>
        <w:rPr>
          <w:rFonts w:hint="eastAsia" w:ascii="方正黑体_GBK" w:hAnsi="黑体" w:eastAsia="方正黑体_GBK" w:cs="黑体"/>
          <w:kern w:val="0"/>
          <w:sz w:val="32"/>
          <w:szCs w:val="32"/>
        </w:rPr>
        <w:t>附件2</w:t>
      </w:r>
    </w:p>
    <w:p>
      <w:pPr>
        <w:widowControl/>
        <w:spacing w:line="720" w:lineRule="atLeast"/>
        <w:jc w:val="center"/>
        <w:rPr>
          <w:rFonts w:ascii="方正小标宋简体" w:hAnsi="Times New Roman" w:eastAsia="方正小标宋简体"/>
          <w:kern w:val="0"/>
          <w:sz w:val="44"/>
          <w:szCs w:val="44"/>
        </w:rPr>
      </w:pPr>
      <w:r>
        <w:rPr>
          <w:rFonts w:hint="eastAsia" w:ascii="方正小标宋简体" w:hAnsi="Times New Roman" w:eastAsia="方正小标宋简体"/>
          <w:kern w:val="0"/>
          <w:sz w:val="44"/>
          <w:szCs w:val="44"/>
        </w:rPr>
        <w:t>2018年“</w:t>
      </w:r>
      <w:r>
        <w:rPr>
          <w:rFonts w:hint="eastAsia" w:ascii="方正小标宋简体" w:hAnsi="Times New Roman" w:eastAsia="方正小标宋简体"/>
          <w:bCs/>
          <w:w w:val="92"/>
          <w:kern w:val="0"/>
          <w:sz w:val="44"/>
          <w:szCs w:val="44"/>
        </w:rPr>
        <w:t>挑战杯·</w:t>
      </w:r>
      <w:r>
        <w:rPr>
          <w:rFonts w:hint="eastAsia" w:ascii="方正小标宋简体" w:hAnsi="Times New Roman" w:eastAsia="方正小标宋简体"/>
          <w:kern w:val="0"/>
          <w:sz w:val="44"/>
          <w:szCs w:val="44"/>
        </w:rPr>
        <w:t>创青春”广东大学生创业竞赛作品数额分配表</w:t>
      </w:r>
    </w:p>
    <w:tbl>
      <w:tblPr>
        <w:tblStyle w:val="8"/>
        <w:tblW w:w="9540" w:type="dxa"/>
        <w:tblInd w:w="-374" w:type="dxa"/>
        <w:tblLayout w:type="fixed"/>
        <w:tblCellMar>
          <w:top w:w="0" w:type="dxa"/>
          <w:left w:w="108" w:type="dxa"/>
          <w:bottom w:w="0" w:type="dxa"/>
          <w:right w:w="108" w:type="dxa"/>
        </w:tblCellMar>
      </w:tblPr>
      <w:tblGrid>
        <w:gridCol w:w="1005"/>
        <w:gridCol w:w="3345"/>
        <w:gridCol w:w="2025"/>
        <w:gridCol w:w="1920"/>
        <w:gridCol w:w="1245"/>
      </w:tblGrid>
      <w:tr>
        <w:tblPrEx>
          <w:tblLayout w:type="fixed"/>
          <w:tblCellMar>
            <w:top w:w="0" w:type="dxa"/>
            <w:left w:w="108" w:type="dxa"/>
            <w:bottom w:w="0" w:type="dxa"/>
            <w:right w:w="108" w:type="dxa"/>
          </w:tblCellMar>
        </w:tblPrEx>
        <w:tc>
          <w:tcPr>
            <w:tcW w:w="1005"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rPr>
                <w:rFonts w:ascii="方正仿宋_GBK" w:hAnsi="Times New Roman" w:eastAsia="方正仿宋_GBK"/>
                <w:sz w:val="28"/>
                <w:szCs w:val="28"/>
              </w:rPr>
            </w:pPr>
            <w:r>
              <w:rPr>
                <w:rFonts w:hint="eastAsia" w:ascii="方正仿宋_GBK" w:hAnsi="Times New Roman" w:eastAsia="方正仿宋_GBK"/>
                <w:sz w:val="28"/>
                <w:szCs w:val="28"/>
              </w:rPr>
              <w:t>项目</w:t>
            </w:r>
          </w:p>
        </w:tc>
        <w:tc>
          <w:tcPr>
            <w:tcW w:w="3345" w:type="dxa"/>
            <w:tcBorders>
              <w:top w:val="single" w:color="000000" w:sz="4" w:space="0"/>
              <w:left w:val="nil"/>
              <w:bottom w:val="single" w:color="000000" w:sz="4" w:space="0"/>
              <w:right w:val="single" w:color="000000" w:sz="4" w:space="0"/>
            </w:tcBorders>
            <w:vAlign w:val="center"/>
          </w:tcPr>
          <w:p>
            <w:pPr>
              <w:widowControl/>
              <w:spacing w:line="480" w:lineRule="exact"/>
              <w:jc w:val="center"/>
              <w:rPr>
                <w:rFonts w:ascii="方正仿宋_GBK" w:hAnsi="Times New Roman" w:eastAsia="方正仿宋_GBK"/>
                <w:sz w:val="28"/>
                <w:szCs w:val="28"/>
              </w:rPr>
            </w:pPr>
            <w:r>
              <w:rPr>
                <w:rFonts w:hint="eastAsia" w:ascii="方正仿宋_GBK" w:hAnsi="Times New Roman" w:eastAsia="方正仿宋_GBK"/>
                <w:sz w:val="28"/>
                <w:szCs w:val="28"/>
              </w:rPr>
              <w:t>大学生创业计划竞赛</w:t>
            </w:r>
          </w:p>
        </w:tc>
        <w:tc>
          <w:tcPr>
            <w:tcW w:w="2025" w:type="dxa"/>
            <w:tcBorders>
              <w:top w:val="single" w:color="000000" w:sz="4" w:space="0"/>
              <w:left w:val="nil"/>
              <w:bottom w:val="single" w:color="000000" w:sz="4" w:space="0"/>
              <w:right w:val="single" w:color="000000" w:sz="4" w:space="0"/>
            </w:tcBorders>
            <w:vAlign w:val="center"/>
          </w:tcPr>
          <w:p>
            <w:pPr>
              <w:widowControl/>
              <w:spacing w:line="480" w:lineRule="exact"/>
              <w:jc w:val="center"/>
              <w:rPr>
                <w:rFonts w:ascii="方正仿宋_GBK" w:hAnsi="Times New Roman" w:eastAsia="方正仿宋_GBK"/>
                <w:sz w:val="28"/>
                <w:szCs w:val="28"/>
              </w:rPr>
            </w:pPr>
            <w:r>
              <w:rPr>
                <w:rFonts w:hint="eastAsia" w:ascii="方正仿宋_GBK" w:hAnsi="Times New Roman" w:eastAsia="方正仿宋_GBK"/>
                <w:sz w:val="28"/>
                <w:szCs w:val="28"/>
              </w:rPr>
              <w:t>创业实践</w:t>
            </w:r>
          </w:p>
          <w:p>
            <w:pPr>
              <w:widowControl/>
              <w:spacing w:line="480" w:lineRule="exact"/>
              <w:jc w:val="center"/>
              <w:rPr>
                <w:rFonts w:ascii="方正仿宋_GBK" w:hAnsi="Times New Roman" w:eastAsia="方正仿宋_GBK"/>
                <w:sz w:val="28"/>
                <w:szCs w:val="28"/>
              </w:rPr>
            </w:pPr>
            <w:r>
              <w:rPr>
                <w:rFonts w:hint="eastAsia" w:ascii="方正仿宋_GBK" w:hAnsi="Times New Roman" w:eastAsia="方正仿宋_GBK"/>
                <w:sz w:val="28"/>
                <w:szCs w:val="28"/>
              </w:rPr>
              <w:t>挑战赛</w:t>
            </w:r>
          </w:p>
        </w:tc>
        <w:tc>
          <w:tcPr>
            <w:tcW w:w="1920" w:type="dxa"/>
            <w:tcBorders>
              <w:top w:val="single" w:color="000000" w:sz="4" w:space="0"/>
              <w:left w:val="nil"/>
              <w:bottom w:val="single" w:color="000000" w:sz="4" w:space="0"/>
              <w:right w:val="single" w:color="000000" w:sz="4" w:space="0"/>
            </w:tcBorders>
            <w:vAlign w:val="center"/>
          </w:tcPr>
          <w:p>
            <w:pPr>
              <w:widowControl/>
              <w:spacing w:line="480" w:lineRule="exact"/>
              <w:jc w:val="center"/>
              <w:rPr>
                <w:rFonts w:ascii="方正仿宋_GBK" w:hAnsi="Times New Roman" w:eastAsia="方正仿宋_GBK"/>
                <w:sz w:val="28"/>
                <w:szCs w:val="28"/>
              </w:rPr>
            </w:pPr>
            <w:r>
              <w:rPr>
                <w:rFonts w:hint="eastAsia" w:ascii="方正仿宋_GBK" w:hAnsi="Times New Roman" w:eastAsia="方正仿宋_GBK"/>
                <w:sz w:val="28"/>
                <w:szCs w:val="28"/>
              </w:rPr>
              <w:t>公益创业赛</w:t>
            </w:r>
          </w:p>
        </w:tc>
        <w:tc>
          <w:tcPr>
            <w:tcW w:w="1245" w:type="dxa"/>
            <w:tcBorders>
              <w:top w:val="single" w:color="000000" w:sz="4" w:space="0"/>
              <w:left w:val="nil"/>
              <w:bottom w:val="single" w:color="000000" w:sz="4" w:space="0"/>
              <w:right w:val="single" w:color="000000" w:sz="4" w:space="0"/>
            </w:tcBorders>
            <w:vAlign w:val="center"/>
          </w:tcPr>
          <w:p>
            <w:pPr>
              <w:widowControl/>
              <w:spacing w:line="480" w:lineRule="exact"/>
              <w:jc w:val="center"/>
              <w:rPr>
                <w:rFonts w:ascii="方正仿宋_GBK" w:hAnsi="Times New Roman" w:eastAsia="方正仿宋_GBK"/>
                <w:sz w:val="28"/>
                <w:szCs w:val="28"/>
              </w:rPr>
            </w:pPr>
            <w:r>
              <w:rPr>
                <w:rFonts w:hint="eastAsia" w:ascii="方正仿宋_GBK" w:hAnsi="Times New Roman" w:eastAsia="方正仿宋_GBK"/>
                <w:sz w:val="28"/>
                <w:szCs w:val="28"/>
              </w:rPr>
              <w:t>报送作品总数</w:t>
            </w:r>
          </w:p>
        </w:tc>
      </w:tr>
      <w:tr>
        <w:tblPrEx>
          <w:tblLayout w:type="fixed"/>
          <w:tblCellMar>
            <w:top w:w="0" w:type="dxa"/>
            <w:left w:w="108" w:type="dxa"/>
            <w:bottom w:w="0" w:type="dxa"/>
            <w:right w:w="108" w:type="dxa"/>
          </w:tblCellMar>
        </w:tblPrEx>
        <w:tc>
          <w:tcPr>
            <w:tcW w:w="1005"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rPr>
                <w:rFonts w:ascii="方正仿宋_GBK" w:hAnsi="Times New Roman" w:eastAsia="方正仿宋_GBK"/>
                <w:sz w:val="28"/>
                <w:szCs w:val="28"/>
              </w:rPr>
            </w:pPr>
            <w:r>
              <w:rPr>
                <w:rFonts w:hint="eastAsia" w:ascii="方正仿宋_GBK" w:hAnsi="Times New Roman" w:eastAsia="方正仿宋_GBK"/>
                <w:sz w:val="28"/>
                <w:szCs w:val="28"/>
              </w:rPr>
              <w:t>数额</w:t>
            </w:r>
          </w:p>
        </w:tc>
        <w:tc>
          <w:tcPr>
            <w:tcW w:w="3345" w:type="dxa"/>
            <w:tcBorders>
              <w:top w:val="single" w:color="000000" w:sz="4" w:space="0"/>
              <w:left w:val="nil"/>
              <w:bottom w:val="single" w:color="000000" w:sz="4" w:space="0"/>
              <w:right w:val="single" w:color="000000" w:sz="4" w:space="0"/>
            </w:tcBorders>
            <w:vAlign w:val="center"/>
          </w:tcPr>
          <w:p>
            <w:pPr>
              <w:widowControl/>
              <w:spacing w:line="480" w:lineRule="exact"/>
              <w:jc w:val="center"/>
              <w:rPr>
                <w:rFonts w:ascii="方正仿宋_GBK" w:hAnsi="Times New Roman" w:eastAsia="方正仿宋_GBK"/>
                <w:sz w:val="28"/>
                <w:szCs w:val="28"/>
              </w:rPr>
            </w:pPr>
            <w:r>
              <w:rPr>
                <w:rFonts w:hint="eastAsia" w:ascii="方正仿宋_GBK" w:hAnsi="Times New Roman" w:eastAsia="方正仿宋_GBK"/>
                <w:sz w:val="28"/>
                <w:szCs w:val="28"/>
              </w:rPr>
              <w:t>10</w:t>
            </w:r>
          </w:p>
        </w:tc>
        <w:tc>
          <w:tcPr>
            <w:tcW w:w="2025" w:type="dxa"/>
            <w:tcBorders>
              <w:top w:val="single" w:color="000000" w:sz="4" w:space="0"/>
              <w:left w:val="nil"/>
              <w:bottom w:val="single" w:color="000000" w:sz="4" w:space="0"/>
              <w:right w:val="single" w:color="000000" w:sz="4" w:space="0"/>
            </w:tcBorders>
            <w:vAlign w:val="center"/>
          </w:tcPr>
          <w:p>
            <w:pPr>
              <w:widowControl/>
              <w:spacing w:line="480" w:lineRule="exact"/>
              <w:jc w:val="center"/>
              <w:rPr>
                <w:rFonts w:ascii="方正仿宋_GBK" w:hAnsi="Times New Roman" w:eastAsia="方正仿宋_GBK"/>
                <w:sz w:val="28"/>
                <w:szCs w:val="28"/>
              </w:rPr>
            </w:pPr>
            <w:r>
              <w:rPr>
                <w:rFonts w:hint="eastAsia" w:ascii="方正仿宋_GBK" w:hAnsi="Times New Roman" w:eastAsia="方正仿宋_GBK"/>
                <w:sz w:val="28"/>
                <w:szCs w:val="28"/>
              </w:rPr>
              <w:t>4</w:t>
            </w:r>
          </w:p>
        </w:tc>
        <w:tc>
          <w:tcPr>
            <w:tcW w:w="1920" w:type="dxa"/>
            <w:tcBorders>
              <w:top w:val="single" w:color="000000" w:sz="4" w:space="0"/>
              <w:left w:val="nil"/>
              <w:bottom w:val="single" w:color="000000" w:sz="4" w:space="0"/>
              <w:right w:val="single" w:color="000000" w:sz="4" w:space="0"/>
            </w:tcBorders>
            <w:vAlign w:val="center"/>
          </w:tcPr>
          <w:p>
            <w:pPr>
              <w:widowControl/>
              <w:spacing w:line="480" w:lineRule="exact"/>
              <w:jc w:val="center"/>
              <w:rPr>
                <w:rFonts w:ascii="方正仿宋_GBK" w:hAnsi="Times New Roman" w:eastAsia="方正仿宋_GBK"/>
                <w:sz w:val="28"/>
                <w:szCs w:val="28"/>
              </w:rPr>
            </w:pPr>
            <w:r>
              <w:rPr>
                <w:rFonts w:hint="eastAsia" w:ascii="方正仿宋_GBK" w:hAnsi="Times New Roman" w:eastAsia="方正仿宋_GBK"/>
                <w:sz w:val="28"/>
                <w:szCs w:val="28"/>
              </w:rPr>
              <w:t>3</w:t>
            </w:r>
          </w:p>
        </w:tc>
        <w:tc>
          <w:tcPr>
            <w:tcW w:w="1245" w:type="dxa"/>
            <w:tcBorders>
              <w:top w:val="single" w:color="000000" w:sz="4" w:space="0"/>
              <w:left w:val="nil"/>
              <w:bottom w:val="single" w:color="000000" w:sz="4" w:space="0"/>
              <w:right w:val="single" w:color="000000" w:sz="4" w:space="0"/>
            </w:tcBorders>
            <w:vAlign w:val="center"/>
          </w:tcPr>
          <w:p>
            <w:pPr>
              <w:widowControl/>
              <w:spacing w:line="480" w:lineRule="exact"/>
              <w:jc w:val="center"/>
              <w:rPr>
                <w:rFonts w:ascii="方正仿宋_GBK" w:hAnsi="Times New Roman" w:eastAsia="方正仿宋_GBK"/>
                <w:sz w:val="28"/>
                <w:szCs w:val="28"/>
              </w:rPr>
            </w:pPr>
            <w:r>
              <w:rPr>
                <w:rFonts w:hint="eastAsia" w:ascii="方正仿宋_GBK" w:hAnsi="Times New Roman" w:eastAsia="方正仿宋_GBK"/>
                <w:sz w:val="28"/>
                <w:szCs w:val="28"/>
              </w:rPr>
              <w:t>17</w:t>
            </w:r>
          </w:p>
        </w:tc>
      </w:tr>
    </w:tbl>
    <w:tbl>
      <w:tblPr>
        <w:tblStyle w:val="8"/>
        <w:tblpPr w:leftFromText="180" w:rightFromText="180" w:vertAnchor="text" w:horzAnchor="margin" w:tblpXSpec="center" w:tblpY="2784"/>
        <w:tblOverlap w:val="never"/>
        <w:tblW w:w="8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2204"/>
        <w:gridCol w:w="2160"/>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282" w:type="dxa"/>
            <w:vMerge w:val="restart"/>
            <w:vAlign w:val="center"/>
          </w:tcPr>
          <w:p>
            <w:pPr>
              <w:widowControl/>
              <w:spacing w:line="480" w:lineRule="exact"/>
              <w:jc w:val="center"/>
              <w:rPr>
                <w:rFonts w:ascii="方正仿宋_GBK" w:hAnsi="Times New Roman" w:eastAsia="方正仿宋_GBK"/>
                <w:sz w:val="28"/>
                <w:szCs w:val="28"/>
              </w:rPr>
            </w:pPr>
            <w:r>
              <w:rPr>
                <w:rFonts w:hint="eastAsia" w:ascii="方正仿宋_GBK" w:hAnsi="Times New Roman" w:eastAsia="方正仿宋_GBK"/>
                <w:sz w:val="28"/>
                <w:szCs w:val="28"/>
              </w:rPr>
              <w:t>2016年“挑战杯·创青春”广东大学生创业大赛作品获得金奖的高校</w:t>
            </w:r>
          </w:p>
        </w:tc>
        <w:tc>
          <w:tcPr>
            <w:tcW w:w="2204" w:type="dxa"/>
            <w:vAlign w:val="center"/>
          </w:tcPr>
          <w:p>
            <w:pPr>
              <w:spacing w:line="480" w:lineRule="exact"/>
              <w:jc w:val="center"/>
              <w:rPr>
                <w:rFonts w:ascii="方正仿宋_GBK" w:hAnsi="Times New Roman" w:eastAsia="方正仿宋_GBK"/>
                <w:sz w:val="24"/>
              </w:rPr>
            </w:pPr>
            <w:r>
              <w:rPr>
                <w:rFonts w:hint="eastAsia" w:ascii="方正仿宋_GBK" w:hAnsi="Times New Roman" w:eastAsia="方正仿宋_GBK"/>
                <w:sz w:val="24"/>
              </w:rPr>
              <w:t>中山大学</w:t>
            </w:r>
          </w:p>
        </w:tc>
        <w:tc>
          <w:tcPr>
            <w:tcW w:w="2160" w:type="dxa"/>
            <w:vAlign w:val="center"/>
          </w:tcPr>
          <w:p>
            <w:pPr>
              <w:spacing w:line="480" w:lineRule="exact"/>
              <w:jc w:val="center"/>
              <w:rPr>
                <w:rFonts w:ascii="方正仿宋_GBK" w:hAnsi="Times New Roman" w:eastAsia="方正仿宋_GBK"/>
                <w:sz w:val="24"/>
              </w:rPr>
            </w:pPr>
            <w:r>
              <w:rPr>
                <w:rFonts w:hint="eastAsia" w:ascii="方正仿宋_GBK" w:hAnsi="Times New Roman" w:eastAsia="方正仿宋_GBK"/>
                <w:sz w:val="24"/>
              </w:rPr>
              <w:t>广东药科大学</w:t>
            </w:r>
          </w:p>
        </w:tc>
        <w:tc>
          <w:tcPr>
            <w:tcW w:w="3150" w:type="dxa"/>
            <w:vAlign w:val="center"/>
          </w:tcPr>
          <w:p>
            <w:pPr>
              <w:spacing w:line="480" w:lineRule="exact"/>
              <w:jc w:val="center"/>
              <w:rPr>
                <w:rFonts w:ascii="方正仿宋_GBK" w:hAnsi="Times New Roman" w:eastAsia="方正仿宋_GBK"/>
                <w:sz w:val="24"/>
              </w:rPr>
            </w:pPr>
            <w:r>
              <w:rPr>
                <w:rFonts w:hint="eastAsia" w:ascii="方正仿宋_GBK" w:hAnsi="Times New Roman" w:eastAsia="方正仿宋_GBK"/>
                <w:sz w:val="24"/>
              </w:rPr>
              <w:t>佛山科学技术学院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282" w:type="dxa"/>
            <w:vMerge w:val="continue"/>
            <w:vAlign w:val="center"/>
          </w:tcPr>
          <w:p>
            <w:pPr>
              <w:widowControl/>
              <w:spacing w:line="480" w:lineRule="exact"/>
              <w:jc w:val="center"/>
              <w:rPr>
                <w:rFonts w:ascii="方正仿宋_GBK" w:hAnsi="Times New Roman" w:eastAsia="方正仿宋_GBK"/>
                <w:sz w:val="28"/>
                <w:szCs w:val="28"/>
              </w:rPr>
            </w:pPr>
          </w:p>
        </w:tc>
        <w:tc>
          <w:tcPr>
            <w:tcW w:w="2204" w:type="dxa"/>
            <w:vAlign w:val="center"/>
          </w:tcPr>
          <w:p>
            <w:pPr>
              <w:spacing w:line="480" w:lineRule="exact"/>
              <w:jc w:val="center"/>
              <w:rPr>
                <w:rFonts w:ascii="方正仿宋_GBK" w:hAnsi="Times New Roman" w:eastAsia="方正仿宋_GBK"/>
                <w:sz w:val="24"/>
              </w:rPr>
            </w:pPr>
            <w:r>
              <w:rPr>
                <w:rFonts w:hint="eastAsia" w:ascii="方正仿宋_GBK" w:hAnsi="Times New Roman" w:eastAsia="方正仿宋_GBK"/>
                <w:sz w:val="24"/>
              </w:rPr>
              <w:t>华南理工大学</w:t>
            </w:r>
          </w:p>
        </w:tc>
        <w:tc>
          <w:tcPr>
            <w:tcW w:w="2160" w:type="dxa"/>
            <w:vAlign w:val="center"/>
          </w:tcPr>
          <w:p>
            <w:pPr>
              <w:spacing w:line="480" w:lineRule="exact"/>
              <w:jc w:val="center"/>
              <w:rPr>
                <w:rFonts w:ascii="方正仿宋_GBK" w:hAnsi="Times New Roman" w:eastAsia="方正仿宋_GBK"/>
                <w:sz w:val="24"/>
              </w:rPr>
            </w:pPr>
            <w:r>
              <w:rPr>
                <w:rFonts w:hint="eastAsia" w:ascii="方正仿宋_GBK" w:hAnsi="Times New Roman" w:eastAsia="方正仿宋_GBK"/>
                <w:sz w:val="24"/>
              </w:rPr>
              <w:t>广东技术师范学院</w:t>
            </w:r>
          </w:p>
        </w:tc>
        <w:tc>
          <w:tcPr>
            <w:tcW w:w="3150" w:type="dxa"/>
            <w:vAlign w:val="center"/>
          </w:tcPr>
          <w:p>
            <w:pPr>
              <w:spacing w:line="480" w:lineRule="exact"/>
              <w:jc w:val="center"/>
              <w:rPr>
                <w:rFonts w:ascii="方正仿宋_GBK" w:hAnsi="Times New Roman" w:eastAsia="方正仿宋_GBK"/>
                <w:sz w:val="24"/>
              </w:rPr>
            </w:pPr>
            <w:r>
              <w:rPr>
                <w:rFonts w:hint="eastAsia" w:ascii="方正仿宋_GBK" w:hAnsi="Times New Roman" w:eastAsia="方正仿宋_GBK"/>
                <w:sz w:val="24"/>
              </w:rPr>
              <w:t>肇庆学院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1282" w:type="dxa"/>
            <w:vMerge w:val="continue"/>
            <w:vAlign w:val="center"/>
          </w:tcPr>
          <w:p>
            <w:pPr>
              <w:widowControl/>
              <w:spacing w:line="480" w:lineRule="exact"/>
              <w:jc w:val="center"/>
              <w:rPr>
                <w:rFonts w:ascii="方正仿宋_GBK" w:hAnsi="Times New Roman" w:eastAsia="方正仿宋_GBK"/>
                <w:sz w:val="28"/>
                <w:szCs w:val="28"/>
              </w:rPr>
            </w:pPr>
          </w:p>
        </w:tc>
        <w:tc>
          <w:tcPr>
            <w:tcW w:w="2204" w:type="dxa"/>
            <w:vAlign w:val="center"/>
          </w:tcPr>
          <w:p>
            <w:pPr>
              <w:spacing w:line="480" w:lineRule="exact"/>
              <w:jc w:val="center"/>
              <w:rPr>
                <w:rFonts w:ascii="方正仿宋_GBK" w:hAnsi="Times New Roman" w:eastAsia="方正仿宋_GBK"/>
                <w:sz w:val="24"/>
              </w:rPr>
            </w:pPr>
            <w:r>
              <w:rPr>
                <w:rFonts w:hint="eastAsia" w:ascii="方正仿宋_GBK" w:hAnsi="Times New Roman" w:eastAsia="方正仿宋_GBK"/>
                <w:sz w:val="24"/>
              </w:rPr>
              <w:t>华南农业大学</w:t>
            </w:r>
          </w:p>
        </w:tc>
        <w:tc>
          <w:tcPr>
            <w:tcW w:w="2160" w:type="dxa"/>
            <w:vAlign w:val="center"/>
          </w:tcPr>
          <w:p>
            <w:pPr>
              <w:spacing w:line="480" w:lineRule="exact"/>
              <w:jc w:val="center"/>
              <w:rPr>
                <w:rFonts w:ascii="方正仿宋_GBK" w:hAnsi="Times New Roman" w:eastAsia="方正仿宋_GBK"/>
                <w:sz w:val="24"/>
              </w:rPr>
            </w:pPr>
            <w:r>
              <w:rPr>
                <w:rFonts w:hint="eastAsia" w:ascii="方正仿宋_GBK" w:hAnsi="Times New Roman" w:eastAsia="方正仿宋_GBK"/>
                <w:sz w:val="24"/>
              </w:rPr>
              <w:t>岭南师范学院</w:t>
            </w:r>
          </w:p>
        </w:tc>
        <w:tc>
          <w:tcPr>
            <w:tcW w:w="3150" w:type="dxa"/>
            <w:vAlign w:val="center"/>
          </w:tcPr>
          <w:p>
            <w:pPr>
              <w:spacing w:line="480" w:lineRule="exact"/>
              <w:jc w:val="center"/>
              <w:rPr>
                <w:rFonts w:ascii="方正仿宋_GBK" w:hAnsi="Times New Roman" w:eastAsia="方正仿宋_GBK"/>
                <w:sz w:val="24"/>
              </w:rPr>
            </w:pPr>
            <w:r>
              <w:rPr>
                <w:rFonts w:hint="eastAsia" w:ascii="方正仿宋_GBK" w:hAnsi="Times New Roman" w:eastAsia="方正仿宋_GBK"/>
                <w:sz w:val="24"/>
              </w:rPr>
              <w:t>广东水利电力职业技术学院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1282" w:type="dxa"/>
            <w:vMerge w:val="continue"/>
            <w:vAlign w:val="center"/>
          </w:tcPr>
          <w:p>
            <w:pPr>
              <w:widowControl/>
              <w:spacing w:line="480" w:lineRule="exact"/>
              <w:jc w:val="center"/>
              <w:rPr>
                <w:rFonts w:ascii="方正仿宋_GBK" w:hAnsi="Times New Roman" w:eastAsia="方正仿宋_GBK"/>
                <w:sz w:val="28"/>
                <w:szCs w:val="28"/>
              </w:rPr>
            </w:pPr>
          </w:p>
        </w:tc>
        <w:tc>
          <w:tcPr>
            <w:tcW w:w="2204" w:type="dxa"/>
            <w:vAlign w:val="center"/>
          </w:tcPr>
          <w:p>
            <w:pPr>
              <w:spacing w:line="480" w:lineRule="exact"/>
              <w:jc w:val="center"/>
              <w:rPr>
                <w:rFonts w:ascii="方正仿宋_GBK" w:hAnsi="Times New Roman" w:eastAsia="方正仿宋_GBK"/>
                <w:sz w:val="24"/>
              </w:rPr>
            </w:pPr>
            <w:r>
              <w:rPr>
                <w:rFonts w:hint="eastAsia" w:ascii="方正仿宋_GBK" w:hAnsi="Times New Roman" w:eastAsia="方正仿宋_GBK"/>
                <w:sz w:val="24"/>
              </w:rPr>
              <w:t>暨南大学</w:t>
            </w:r>
          </w:p>
        </w:tc>
        <w:tc>
          <w:tcPr>
            <w:tcW w:w="2160" w:type="dxa"/>
            <w:vAlign w:val="center"/>
          </w:tcPr>
          <w:p>
            <w:pPr>
              <w:spacing w:line="480" w:lineRule="exact"/>
              <w:jc w:val="center"/>
              <w:rPr>
                <w:rFonts w:ascii="方正仿宋_GBK" w:hAnsi="Times New Roman" w:eastAsia="方正仿宋_GBK"/>
                <w:sz w:val="24"/>
              </w:rPr>
            </w:pPr>
            <w:r>
              <w:rPr>
                <w:rFonts w:hint="eastAsia" w:ascii="方正仿宋_GBK" w:hAnsi="Times New Roman" w:eastAsia="方正仿宋_GBK"/>
                <w:sz w:val="24"/>
              </w:rPr>
              <w:t>韩山师范学院</w:t>
            </w:r>
          </w:p>
        </w:tc>
        <w:tc>
          <w:tcPr>
            <w:tcW w:w="3150" w:type="dxa"/>
            <w:vAlign w:val="center"/>
          </w:tcPr>
          <w:p>
            <w:pPr>
              <w:spacing w:line="480" w:lineRule="exact"/>
              <w:jc w:val="center"/>
              <w:rPr>
                <w:rFonts w:ascii="方正仿宋_GBK" w:hAnsi="Times New Roman" w:eastAsia="方正仿宋_GBK"/>
                <w:sz w:val="24"/>
              </w:rPr>
            </w:pPr>
            <w:r>
              <w:rPr>
                <w:rFonts w:hint="eastAsia" w:ascii="方正仿宋_GBK" w:hAnsi="Times New Roman" w:eastAsia="方正仿宋_GBK"/>
                <w:sz w:val="24"/>
              </w:rPr>
              <w:t>吉林大学珠海学院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1282" w:type="dxa"/>
            <w:vMerge w:val="continue"/>
            <w:vAlign w:val="center"/>
          </w:tcPr>
          <w:p>
            <w:pPr>
              <w:widowControl/>
              <w:spacing w:line="480" w:lineRule="exact"/>
              <w:jc w:val="center"/>
              <w:rPr>
                <w:rFonts w:ascii="方正仿宋_GBK" w:hAnsi="Times New Roman" w:eastAsia="方正仿宋_GBK"/>
                <w:sz w:val="28"/>
                <w:szCs w:val="28"/>
              </w:rPr>
            </w:pPr>
          </w:p>
        </w:tc>
        <w:tc>
          <w:tcPr>
            <w:tcW w:w="2204" w:type="dxa"/>
            <w:vAlign w:val="center"/>
          </w:tcPr>
          <w:p>
            <w:pPr>
              <w:spacing w:line="480" w:lineRule="exact"/>
              <w:jc w:val="center"/>
              <w:rPr>
                <w:rFonts w:ascii="方正仿宋_GBK" w:hAnsi="Times New Roman" w:eastAsia="方正仿宋_GBK"/>
                <w:sz w:val="24"/>
              </w:rPr>
            </w:pPr>
            <w:r>
              <w:rPr>
                <w:rFonts w:hint="eastAsia" w:ascii="方正仿宋_GBK" w:hAnsi="Times New Roman" w:eastAsia="方正仿宋_GBK"/>
                <w:sz w:val="24"/>
              </w:rPr>
              <w:t>南方医科大学</w:t>
            </w:r>
          </w:p>
        </w:tc>
        <w:tc>
          <w:tcPr>
            <w:tcW w:w="2160" w:type="dxa"/>
            <w:vAlign w:val="center"/>
          </w:tcPr>
          <w:p>
            <w:pPr>
              <w:spacing w:line="480" w:lineRule="exact"/>
              <w:jc w:val="center"/>
              <w:rPr>
                <w:rFonts w:ascii="方正仿宋_GBK" w:hAnsi="Times New Roman" w:eastAsia="方正仿宋_GBK"/>
                <w:sz w:val="24"/>
              </w:rPr>
            </w:pPr>
            <w:r>
              <w:rPr>
                <w:rFonts w:hint="eastAsia" w:ascii="方正仿宋_GBK" w:hAnsi="Times New Roman" w:eastAsia="方正仿宋_GBK"/>
                <w:sz w:val="24"/>
              </w:rPr>
              <w:t>广东石油化工学院</w:t>
            </w:r>
          </w:p>
        </w:tc>
        <w:tc>
          <w:tcPr>
            <w:tcW w:w="3150" w:type="dxa"/>
            <w:vAlign w:val="center"/>
          </w:tcPr>
          <w:p>
            <w:pPr>
              <w:spacing w:line="480" w:lineRule="exact"/>
              <w:jc w:val="center"/>
              <w:rPr>
                <w:rFonts w:ascii="方正仿宋_GBK" w:hAnsi="Times New Roman" w:eastAsia="方正仿宋_GBK"/>
                <w:sz w:val="24"/>
              </w:rPr>
            </w:pPr>
            <w:r>
              <w:rPr>
                <w:rFonts w:hint="eastAsia" w:ascii="方正仿宋_GBK" w:hAnsi="Times New Roman" w:eastAsia="方正仿宋_GBK"/>
                <w:sz w:val="24"/>
              </w:rPr>
              <w:t>惠州城市职业学院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1282" w:type="dxa"/>
            <w:vMerge w:val="continue"/>
            <w:vAlign w:val="center"/>
          </w:tcPr>
          <w:p>
            <w:pPr>
              <w:widowControl/>
              <w:spacing w:line="480" w:lineRule="exact"/>
              <w:jc w:val="center"/>
              <w:rPr>
                <w:rFonts w:ascii="方正仿宋_GBK" w:hAnsi="Times New Roman" w:eastAsia="方正仿宋_GBK"/>
                <w:sz w:val="28"/>
                <w:szCs w:val="28"/>
              </w:rPr>
            </w:pPr>
          </w:p>
        </w:tc>
        <w:tc>
          <w:tcPr>
            <w:tcW w:w="2204" w:type="dxa"/>
            <w:vAlign w:val="center"/>
          </w:tcPr>
          <w:p>
            <w:pPr>
              <w:spacing w:line="480" w:lineRule="exact"/>
              <w:jc w:val="center"/>
              <w:rPr>
                <w:rFonts w:ascii="方正仿宋_GBK" w:hAnsi="Times New Roman" w:eastAsia="方正仿宋_GBK"/>
                <w:sz w:val="24"/>
              </w:rPr>
            </w:pPr>
            <w:r>
              <w:rPr>
                <w:rFonts w:hint="eastAsia" w:ascii="方正仿宋_GBK" w:hAnsi="Times New Roman" w:eastAsia="方正仿宋_GBK"/>
                <w:sz w:val="24"/>
              </w:rPr>
              <w:t>广州中医药大学</w:t>
            </w:r>
          </w:p>
        </w:tc>
        <w:tc>
          <w:tcPr>
            <w:tcW w:w="2160" w:type="dxa"/>
            <w:vAlign w:val="center"/>
          </w:tcPr>
          <w:p>
            <w:pPr>
              <w:spacing w:line="480" w:lineRule="exact"/>
              <w:jc w:val="center"/>
              <w:rPr>
                <w:rFonts w:ascii="方正仿宋_GBK" w:hAnsi="Times New Roman" w:eastAsia="方正仿宋_GBK"/>
                <w:sz w:val="24"/>
              </w:rPr>
            </w:pPr>
            <w:r>
              <w:rPr>
                <w:rFonts w:hint="eastAsia" w:ascii="方正仿宋_GBK" w:hAnsi="Times New Roman" w:eastAsia="方正仿宋_GBK"/>
                <w:sz w:val="24"/>
              </w:rPr>
              <w:t>惠州学院</w:t>
            </w:r>
          </w:p>
        </w:tc>
        <w:tc>
          <w:tcPr>
            <w:tcW w:w="3150" w:type="dxa"/>
            <w:vAlign w:val="center"/>
          </w:tcPr>
          <w:p>
            <w:pPr>
              <w:spacing w:line="480" w:lineRule="exact"/>
              <w:jc w:val="center"/>
              <w:rPr>
                <w:rFonts w:ascii="方正仿宋_GBK" w:hAnsi="Times New Roman" w:eastAsia="方正仿宋_GBK"/>
                <w:sz w:val="24"/>
              </w:rPr>
            </w:pPr>
            <w:r>
              <w:rPr>
                <w:rFonts w:hint="eastAsia" w:ascii="方正仿宋_GBK" w:hAnsi="Times New Roman" w:eastAsia="方正仿宋_GBK"/>
                <w:sz w:val="24"/>
              </w:rPr>
              <w:t>深圳信息职业技术学院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282" w:type="dxa"/>
            <w:vMerge w:val="continue"/>
            <w:vAlign w:val="center"/>
          </w:tcPr>
          <w:p>
            <w:pPr>
              <w:widowControl/>
              <w:spacing w:line="480" w:lineRule="exact"/>
              <w:jc w:val="center"/>
              <w:rPr>
                <w:rFonts w:ascii="方正仿宋_GBK" w:hAnsi="Times New Roman" w:eastAsia="方正仿宋_GBK"/>
                <w:sz w:val="28"/>
                <w:szCs w:val="28"/>
              </w:rPr>
            </w:pPr>
          </w:p>
        </w:tc>
        <w:tc>
          <w:tcPr>
            <w:tcW w:w="2204" w:type="dxa"/>
            <w:vAlign w:val="center"/>
          </w:tcPr>
          <w:p>
            <w:pPr>
              <w:spacing w:line="480" w:lineRule="exact"/>
              <w:jc w:val="center"/>
              <w:rPr>
                <w:rFonts w:ascii="方正仿宋_GBK" w:hAnsi="Times New Roman" w:eastAsia="方正仿宋_GBK"/>
                <w:sz w:val="24"/>
              </w:rPr>
            </w:pPr>
            <w:r>
              <w:rPr>
                <w:rFonts w:hint="eastAsia" w:ascii="方正仿宋_GBK" w:hAnsi="Times New Roman" w:eastAsia="方正仿宋_GBK"/>
                <w:sz w:val="24"/>
              </w:rPr>
              <w:t>华南师范大学</w:t>
            </w:r>
          </w:p>
        </w:tc>
        <w:tc>
          <w:tcPr>
            <w:tcW w:w="2160" w:type="dxa"/>
            <w:vAlign w:val="center"/>
          </w:tcPr>
          <w:p>
            <w:pPr>
              <w:spacing w:line="480" w:lineRule="exact"/>
              <w:jc w:val="center"/>
              <w:rPr>
                <w:rFonts w:ascii="方正仿宋_GBK" w:hAnsi="Times New Roman" w:eastAsia="方正仿宋_GBK"/>
                <w:sz w:val="24"/>
              </w:rPr>
            </w:pPr>
            <w:r>
              <w:rPr>
                <w:rFonts w:hint="eastAsia" w:ascii="方正仿宋_GBK" w:hAnsi="Times New Roman" w:eastAsia="方正仿宋_GBK"/>
                <w:sz w:val="24"/>
              </w:rPr>
              <w:t>东莞理工学院</w:t>
            </w:r>
          </w:p>
        </w:tc>
        <w:tc>
          <w:tcPr>
            <w:tcW w:w="3150" w:type="dxa"/>
            <w:vAlign w:val="center"/>
          </w:tcPr>
          <w:p>
            <w:pPr>
              <w:spacing w:line="480" w:lineRule="exact"/>
              <w:jc w:val="center"/>
              <w:rPr>
                <w:rFonts w:ascii="方正仿宋_GBK" w:hAnsi="Times New Roman" w:eastAsia="方正仿宋_GBK"/>
                <w:sz w:val="24"/>
              </w:rPr>
            </w:pPr>
            <w:r>
              <w:rPr>
                <w:rFonts w:hint="eastAsia" w:ascii="方正仿宋_GBK" w:hAnsi="Times New Roman" w:eastAsia="方正仿宋_GBK"/>
                <w:sz w:val="24"/>
              </w:rPr>
              <w:t>广东培正学院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1282" w:type="dxa"/>
            <w:vMerge w:val="continue"/>
            <w:vAlign w:val="center"/>
          </w:tcPr>
          <w:p>
            <w:pPr>
              <w:widowControl/>
              <w:spacing w:line="480" w:lineRule="exact"/>
              <w:jc w:val="center"/>
              <w:rPr>
                <w:rFonts w:ascii="方正仿宋_GBK" w:hAnsi="Times New Roman" w:eastAsia="方正仿宋_GBK"/>
                <w:sz w:val="28"/>
                <w:szCs w:val="28"/>
              </w:rPr>
            </w:pPr>
          </w:p>
        </w:tc>
        <w:tc>
          <w:tcPr>
            <w:tcW w:w="2204" w:type="dxa"/>
            <w:vAlign w:val="center"/>
          </w:tcPr>
          <w:p>
            <w:pPr>
              <w:spacing w:line="480" w:lineRule="exact"/>
              <w:jc w:val="center"/>
              <w:rPr>
                <w:rFonts w:ascii="方正仿宋_GBK" w:hAnsi="Times New Roman" w:eastAsia="方正仿宋_GBK"/>
                <w:sz w:val="24"/>
              </w:rPr>
            </w:pPr>
            <w:r>
              <w:rPr>
                <w:rFonts w:hint="eastAsia" w:ascii="方正仿宋_GBK" w:hAnsi="Times New Roman" w:eastAsia="方正仿宋_GBK"/>
                <w:sz w:val="24"/>
              </w:rPr>
              <w:t>广东工业大学</w:t>
            </w:r>
          </w:p>
        </w:tc>
        <w:tc>
          <w:tcPr>
            <w:tcW w:w="2160" w:type="dxa"/>
            <w:vAlign w:val="center"/>
          </w:tcPr>
          <w:p>
            <w:pPr>
              <w:spacing w:line="480" w:lineRule="exact"/>
              <w:jc w:val="center"/>
              <w:rPr>
                <w:rFonts w:ascii="方正仿宋_GBK" w:hAnsi="Times New Roman" w:eastAsia="方正仿宋_GBK"/>
                <w:sz w:val="24"/>
              </w:rPr>
            </w:pPr>
            <w:r>
              <w:rPr>
                <w:rFonts w:hint="eastAsia" w:ascii="方正仿宋_GBK" w:hAnsi="Times New Roman" w:eastAsia="方正仿宋_GBK"/>
                <w:sz w:val="24"/>
              </w:rPr>
              <w:t>广州航海学院</w:t>
            </w:r>
          </w:p>
        </w:tc>
        <w:tc>
          <w:tcPr>
            <w:tcW w:w="3150" w:type="dxa"/>
            <w:vAlign w:val="center"/>
          </w:tcPr>
          <w:p>
            <w:pPr>
              <w:spacing w:line="480" w:lineRule="exact"/>
              <w:jc w:val="center"/>
              <w:rPr>
                <w:rFonts w:ascii="方正仿宋_GBK" w:hAnsi="Times New Roman" w:eastAsia="方正仿宋_GBK"/>
                <w:sz w:val="24"/>
              </w:rPr>
            </w:pPr>
            <w:r>
              <w:rPr>
                <w:rFonts w:hint="eastAsia" w:ascii="方正仿宋_GBK" w:hAnsi="Times New Roman" w:eastAsia="方正仿宋_GBK"/>
                <w:sz w:val="24"/>
              </w:rPr>
              <w:t>广东东软学院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282" w:type="dxa"/>
            <w:vMerge w:val="continue"/>
            <w:vAlign w:val="center"/>
          </w:tcPr>
          <w:p>
            <w:pPr>
              <w:widowControl/>
              <w:spacing w:line="480" w:lineRule="exact"/>
              <w:jc w:val="center"/>
              <w:rPr>
                <w:rFonts w:ascii="方正仿宋_GBK" w:hAnsi="Times New Roman" w:eastAsia="方正仿宋_GBK"/>
                <w:sz w:val="28"/>
                <w:szCs w:val="28"/>
              </w:rPr>
            </w:pPr>
          </w:p>
        </w:tc>
        <w:tc>
          <w:tcPr>
            <w:tcW w:w="2204" w:type="dxa"/>
            <w:vAlign w:val="center"/>
          </w:tcPr>
          <w:p>
            <w:pPr>
              <w:spacing w:line="480" w:lineRule="exact"/>
              <w:jc w:val="center"/>
              <w:rPr>
                <w:rFonts w:ascii="方正仿宋_GBK" w:hAnsi="Times New Roman" w:eastAsia="方正仿宋_GBK"/>
                <w:sz w:val="24"/>
              </w:rPr>
            </w:pPr>
            <w:r>
              <w:rPr>
                <w:rFonts w:hint="eastAsia" w:ascii="方正仿宋_GBK" w:hAnsi="Times New Roman" w:eastAsia="方正仿宋_GBK"/>
                <w:sz w:val="24"/>
              </w:rPr>
              <w:t>广东外语外贸大学</w:t>
            </w:r>
          </w:p>
        </w:tc>
        <w:tc>
          <w:tcPr>
            <w:tcW w:w="2160" w:type="dxa"/>
            <w:vAlign w:val="center"/>
          </w:tcPr>
          <w:p>
            <w:pPr>
              <w:spacing w:line="480" w:lineRule="exact"/>
              <w:jc w:val="center"/>
              <w:rPr>
                <w:rFonts w:ascii="方正仿宋_GBK" w:hAnsi="Times New Roman" w:eastAsia="方正仿宋_GBK"/>
                <w:sz w:val="24"/>
              </w:rPr>
            </w:pPr>
            <w:r>
              <w:rPr>
                <w:rFonts w:hint="eastAsia" w:ascii="方正仿宋_GBK" w:hAnsi="Times New Roman" w:eastAsia="方正仿宋_GBK"/>
                <w:sz w:val="24"/>
              </w:rPr>
              <w:t>广州大学</w:t>
            </w:r>
          </w:p>
        </w:tc>
        <w:tc>
          <w:tcPr>
            <w:tcW w:w="3150" w:type="dxa"/>
            <w:vAlign w:val="center"/>
          </w:tcPr>
          <w:p>
            <w:pPr>
              <w:spacing w:line="480" w:lineRule="exact"/>
              <w:jc w:val="center"/>
              <w:rPr>
                <w:rFonts w:ascii="方正仿宋_GBK" w:hAnsi="Times New Roman" w:eastAsia="方正仿宋_GBK"/>
                <w:sz w:val="24"/>
              </w:rPr>
            </w:pPr>
            <w:r>
              <w:rPr>
                <w:rFonts w:hint="eastAsia" w:ascii="方正仿宋_GBK" w:hAnsi="Times New Roman" w:eastAsia="方正仿宋_GBK"/>
                <w:sz w:val="24"/>
              </w:rPr>
              <w:t>北京理工大学珠海学院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282" w:type="dxa"/>
            <w:vMerge w:val="continue"/>
            <w:vAlign w:val="center"/>
          </w:tcPr>
          <w:p>
            <w:pPr>
              <w:widowControl/>
              <w:spacing w:line="480" w:lineRule="exact"/>
              <w:jc w:val="center"/>
              <w:rPr>
                <w:rFonts w:ascii="方正仿宋_GBK" w:hAnsi="Times New Roman" w:eastAsia="方正仿宋_GBK"/>
                <w:sz w:val="28"/>
                <w:szCs w:val="28"/>
              </w:rPr>
            </w:pPr>
          </w:p>
        </w:tc>
        <w:tc>
          <w:tcPr>
            <w:tcW w:w="2204" w:type="dxa"/>
            <w:vAlign w:val="center"/>
          </w:tcPr>
          <w:p>
            <w:pPr>
              <w:spacing w:line="480" w:lineRule="exact"/>
              <w:jc w:val="center"/>
              <w:rPr>
                <w:rFonts w:ascii="方正仿宋_GBK" w:hAnsi="Times New Roman" w:eastAsia="方正仿宋_GBK"/>
                <w:sz w:val="24"/>
              </w:rPr>
            </w:pPr>
            <w:r>
              <w:rPr>
                <w:rFonts w:hint="eastAsia" w:ascii="方正仿宋_GBK" w:hAnsi="Times New Roman" w:eastAsia="方正仿宋_GBK"/>
                <w:sz w:val="24"/>
              </w:rPr>
              <w:t>广东财经大学</w:t>
            </w:r>
          </w:p>
        </w:tc>
        <w:tc>
          <w:tcPr>
            <w:tcW w:w="2160" w:type="dxa"/>
            <w:vAlign w:val="center"/>
          </w:tcPr>
          <w:p>
            <w:pPr>
              <w:spacing w:line="480" w:lineRule="exact"/>
              <w:jc w:val="center"/>
              <w:rPr>
                <w:rFonts w:ascii="方正仿宋_GBK" w:hAnsi="Times New Roman" w:eastAsia="方正仿宋_GBK"/>
                <w:sz w:val="24"/>
              </w:rPr>
            </w:pPr>
            <w:r>
              <w:rPr>
                <w:rFonts w:hint="eastAsia" w:ascii="方正仿宋_GBK" w:hAnsi="Times New Roman" w:eastAsia="方正仿宋_GBK"/>
                <w:sz w:val="24"/>
              </w:rPr>
              <w:t>嘉应学院</w:t>
            </w:r>
          </w:p>
        </w:tc>
        <w:tc>
          <w:tcPr>
            <w:tcW w:w="3150" w:type="dxa"/>
            <w:vAlign w:val="center"/>
          </w:tcPr>
          <w:p>
            <w:pPr>
              <w:spacing w:line="480" w:lineRule="exact"/>
              <w:jc w:val="center"/>
              <w:rPr>
                <w:rFonts w:ascii="方正仿宋_GBK"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282" w:type="dxa"/>
            <w:vMerge w:val="continue"/>
            <w:vAlign w:val="center"/>
          </w:tcPr>
          <w:p>
            <w:pPr>
              <w:widowControl/>
              <w:spacing w:line="480" w:lineRule="exact"/>
              <w:jc w:val="center"/>
              <w:rPr>
                <w:rFonts w:ascii="方正仿宋_GBK" w:hAnsi="Times New Roman" w:eastAsia="方正仿宋_GBK"/>
                <w:sz w:val="28"/>
                <w:szCs w:val="28"/>
              </w:rPr>
            </w:pPr>
          </w:p>
        </w:tc>
        <w:tc>
          <w:tcPr>
            <w:tcW w:w="2204" w:type="dxa"/>
            <w:vAlign w:val="center"/>
          </w:tcPr>
          <w:p>
            <w:pPr>
              <w:spacing w:line="480" w:lineRule="exact"/>
              <w:jc w:val="center"/>
              <w:rPr>
                <w:rFonts w:ascii="方正仿宋_GBK" w:hAnsi="Times New Roman" w:eastAsia="方正仿宋_GBK"/>
                <w:sz w:val="24"/>
              </w:rPr>
            </w:pPr>
            <w:r>
              <w:rPr>
                <w:rFonts w:hint="eastAsia" w:ascii="方正仿宋_GBK" w:hAnsi="Times New Roman" w:eastAsia="方正仿宋_GBK"/>
                <w:sz w:val="24"/>
              </w:rPr>
              <w:t>仲恺农业工程学院</w:t>
            </w:r>
          </w:p>
        </w:tc>
        <w:tc>
          <w:tcPr>
            <w:tcW w:w="2160" w:type="dxa"/>
            <w:vAlign w:val="center"/>
          </w:tcPr>
          <w:p>
            <w:pPr>
              <w:spacing w:line="480" w:lineRule="exact"/>
              <w:jc w:val="center"/>
              <w:rPr>
                <w:rFonts w:ascii="方正仿宋_GBK" w:hAnsi="Times New Roman" w:eastAsia="方正仿宋_GBK"/>
                <w:sz w:val="24"/>
              </w:rPr>
            </w:pPr>
            <w:r>
              <w:rPr>
                <w:rFonts w:hint="eastAsia" w:ascii="方正仿宋_GBK" w:hAnsi="Times New Roman" w:eastAsia="方正仿宋_GBK"/>
                <w:sz w:val="24"/>
              </w:rPr>
              <w:t>五邑大学</w:t>
            </w:r>
          </w:p>
        </w:tc>
        <w:tc>
          <w:tcPr>
            <w:tcW w:w="3150" w:type="dxa"/>
            <w:vAlign w:val="center"/>
          </w:tcPr>
          <w:p>
            <w:pPr>
              <w:spacing w:line="480" w:lineRule="exact"/>
              <w:jc w:val="center"/>
              <w:rPr>
                <w:rFonts w:ascii="方正仿宋_GBK" w:hAnsi="Times New Roman" w:eastAsia="方正仿宋_GBK"/>
                <w:sz w:val="24"/>
              </w:rPr>
            </w:pPr>
          </w:p>
        </w:tc>
      </w:tr>
    </w:tbl>
    <w:p>
      <w:pPr>
        <w:widowControl/>
        <w:spacing w:line="560" w:lineRule="atLeast"/>
        <w:ind w:firstLine="560"/>
        <w:rPr>
          <w:rFonts w:ascii="方正仿宋_GBK" w:hAnsi="Times New Roman" w:eastAsia="方正仿宋_GBK"/>
          <w:kern w:val="0"/>
          <w:sz w:val="28"/>
          <w:szCs w:val="28"/>
        </w:rPr>
      </w:pPr>
      <w:r>
        <w:rPr>
          <w:rFonts w:hint="eastAsia" w:ascii="方正仿宋_GBK" w:hAnsi="Times New Roman" w:eastAsia="方正仿宋_GBK"/>
          <w:kern w:val="0"/>
          <w:sz w:val="28"/>
          <w:szCs w:val="28"/>
        </w:rPr>
        <w:t>备注：1.各高校可以根据学校实际情况进行申报。2.作品获得2016年“挑战杯·创青春”广东大学生创业大赛金奖的高校，在今年“挑战杯·创青春”广东大学生创业大赛中，报送作品总数可增加2件，类别不限。上届获得金奖高校名单详见下表。</w:t>
      </w:r>
    </w:p>
    <w:p>
      <w:pPr>
        <w:ind w:left="2054" w:hanging="2054" w:hangingChars="642"/>
        <w:rPr>
          <w:rFonts w:ascii="方正仿宋_GBK" w:eastAsia="方正仿宋_GBK"/>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仿宋_GB2312" w:cs="仿宋_GB2312"/>
          <w:sz w:val="32"/>
          <w:szCs w:val="32"/>
        </w:rPr>
        <w:br w:type="page"/>
      </w:r>
    </w:p>
    <w:p>
      <w:pPr>
        <w:widowControl/>
        <w:spacing w:line="560" w:lineRule="atLeast"/>
        <w:rPr>
          <w:rFonts w:ascii="方正黑体_GBK" w:hAnsi="黑体" w:eastAsia="方正黑体_GBK" w:cs="黑体"/>
          <w:kern w:val="0"/>
          <w:sz w:val="32"/>
          <w:szCs w:val="32"/>
        </w:rPr>
      </w:pPr>
      <w:r>
        <w:rPr>
          <w:rFonts w:hint="eastAsia" w:ascii="方正黑体_GBK" w:hAnsi="黑体" w:eastAsia="方正黑体_GBK" w:cs="黑体"/>
          <w:kern w:val="0"/>
          <w:sz w:val="32"/>
          <w:szCs w:val="32"/>
        </w:rPr>
        <w:t>附件3</w:t>
      </w:r>
    </w:p>
    <w:p>
      <w:pPr>
        <w:spacing w:line="720" w:lineRule="exact"/>
        <w:jc w:val="center"/>
        <w:rPr>
          <w:rFonts w:ascii="方正小标宋简体" w:hAnsi="方正小标宋简体" w:eastAsia="方正小标宋简体" w:cs="方正小标宋简体"/>
          <w:spacing w:val="-10"/>
          <w:sz w:val="44"/>
          <w:szCs w:val="44"/>
        </w:rPr>
      </w:pPr>
      <w:r>
        <w:rPr>
          <w:rFonts w:hint="eastAsia" w:ascii="方正小标宋简体" w:hAnsi="方正小标宋简体" w:eastAsia="方正小标宋简体" w:cs="方正小标宋简体"/>
          <w:spacing w:val="-10"/>
          <w:sz w:val="44"/>
          <w:szCs w:val="44"/>
        </w:rPr>
        <w:t>“中国青创板”挂牌申报及后续服务流程方案</w:t>
      </w:r>
    </w:p>
    <w:p>
      <w:pPr>
        <w:autoSpaceDE w:val="0"/>
        <w:spacing w:line="72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autoSpaceDE w:val="0"/>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国青创板”，是共青团中央和广东省人民政府共同建设的综合金融服务平台，始创于2014年的“挑战杯•创青春”广东大学生创业大赛，由广州股权交易中心负责日常运营、服务对接、业务拓展。中国青创板的战略定位，是为全国青年创新创业项目（企业）提供孵化、托管、增信、融资、交易、退出等综合金融服务，是各类创新资本进入天使投资和创业风险投资的专业资本市场，是小微创新企业进入资本市场的教练场和孵化工场，是多层次资本市场的拓展和延伸。</w:t>
      </w:r>
    </w:p>
    <w:p>
      <w:pPr>
        <w:autoSpaceDE w:val="0"/>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中国青创板通过打造“三全双创服务机制”（即全时段、全链条、全流程的创新创业服务机制）， 深入对接服务全国青年的创新创业项目（企业），为青年实现创业梦想和自身价值“铺路搭桥”。具体服务流程方案设计如下：</w:t>
      </w:r>
    </w:p>
    <w:p>
      <w:pPr>
        <w:pStyle w:val="13"/>
        <w:autoSpaceDE w:val="0"/>
        <w:spacing w:line="540" w:lineRule="exact"/>
        <w:ind w:firstLine="64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一、完整服务流程</w:t>
      </w:r>
    </w:p>
    <w:p>
      <w:pPr>
        <w:pStyle w:val="13"/>
        <w:autoSpaceDE w:val="0"/>
        <w:spacing w:line="54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提交申请表，网站自主申请登记“中国青创板”官网（http：//www.chinayouthgem.com）创建项目，自主申报。</w:t>
      </w:r>
    </w:p>
    <w:p>
      <w:pPr>
        <w:pStyle w:val="13"/>
        <w:autoSpaceDE w:val="0"/>
        <w:spacing w:line="54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挂牌审核，对申报创业项目和初创业进行审核、分类，审核资质及发展前景。</w:t>
      </w:r>
    </w:p>
    <w:p>
      <w:pPr>
        <w:pStyle w:val="13"/>
        <w:autoSpaceDE w:val="0"/>
        <w:spacing w:line="54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挂牌展示，将通过审核的创业项目和初创企业在官网、微信、对外展示、宣传推介。</w:t>
      </w:r>
    </w:p>
    <w:p>
      <w:pPr>
        <w:pStyle w:val="13"/>
        <w:autoSpaceDE w:val="0"/>
        <w:spacing w:line="54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投融资对接，线上股权融资，线下与天使投资人对接完成融资服务。</w:t>
      </w:r>
    </w:p>
    <w:p>
      <w:pPr>
        <w:pStyle w:val="13"/>
        <w:autoSpaceDE w:val="0"/>
        <w:spacing w:line="54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 孵化培育，将匹配合适的创业导师对创业项目和初创企业进行一对一辅导。</w:t>
      </w:r>
    </w:p>
    <w:p>
      <w:pPr>
        <w:pStyle w:val="13"/>
        <w:autoSpaceDE w:val="0"/>
        <w:spacing w:line="54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 持续服务，为完成创业融资的挂牌项目提供持续性的综合金融服务。</w:t>
      </w:r>
    </w:p>
    <w:p>
      <w:pPr>
        <w:pStyle w:val="13"/>
        <w:autoSpaceDE w:val="0"/>
        <w:spacing w:line="540" w:lineRule="exact"/>
        <w:ind w:firstLine="64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二、挂牌项目（企业）标准</w:t>
      </w:r>
    </w:p>
    <w:p>
      <w:pPr>
        <w:autoSpaceDE w:val="0"/>
        <w:spacing w:line="540" w:lineRule="exact"/>
        <w:ind w:firstLine="640" w:firstLineChars="200"/>
        <w:rPr>
          <w:rFonts w:ascii="方正仿宋_GBK" w:eastAsia="方正仿宋_GBK" w:cs="黑体"/>
          <w:sz w:val="32"/>
          <w:szCs w:val="32"/>
        </w:rPr>
      </w:pPr>
      <w:r>
        <w:rPr>
          <w:rFonts w:hint="eastAsia" w:ascii="方正仿宋_GBK" w:eastAsia="方正仿宋_GBK" w:cs="黑体"/>
          <w:sz w:val="32"/>
          <w:szCs w:val="32"/>
        </w:rPr>
        <w:t>1. 拥有稳定的创业团队，具有完整的创业计划及作品；</w:t>
      </w:r>
    </w:p>
    <w:p>
      <w:pPr>
        <w:autoSpaceDE w:val="0"/>
        <w:spacing w:line="540" w:lineRule="exact"/>
        <w:ind w:firstLine="640" w:firstLineChars="200"/>
        <w:rPr>
          <w:rFonts w:ascii="方正仿宋_GBK" w:eastAsia="方正仿宋_GBK" w:cs="黑体"/>
          <w:sz w:val="32"/>
          <w:szCs w:val="32"/>
        </w:rPr>
      </w:pPr>
      <w:r>
        <w:rPr>
          <w:rFonts w:hint="eastAsia" w:ascii="方正仿宋_GBK" w:eastAsia="方正仿宋_GBK" w:cs="黑体"/>
          <w:sz w:val="32"/>
          <w:szCs w:val="32"/>
        </w:rPr>
        <w:t>2. 拥有创新的技术或模式，具有较强的市场应用价值；</w:t>
      </w:r>
    </w:p>
    <w:p>
      <w:pPr>
        <w:autoSpaceDE w:val="0"/>
        <w:spacing w:line="540" w:lineRule="exact"/>
        <w:ind w:firstLine="640" w:firstLineChars="200"/>
        <w:rPr>
          <w:rFonts w:ascii="方正仿宋_GBK" w:eastAsia="方正仿宋_GBK" w:cs="黑体"/>
          <w:sz w:val="32"/>
          <w:szCs w:val="32"/>
        </w:rPr>
      </w:pPr>
      <w:r>
        <w:rPr>
          <w:rFonts w:hint="eastAsia" w:ascii="方正仿宋_GBK" w:eastAsia="方正仿宋_GBK" w:cs="黑体"/>
          <w:sz w:val="32"/>
          <w:szCs w:val="32"/>
        </w:rPr>
        <w:t>3. 拥有自主知识产权，具有较强的科技创新能力。</w:t>
      </w:r>
    </w:p>
    <w:p>
      <w:pPr>
        <w:autoSpaceDE w:val="0"/>
        <w:spacing w:line="540" w:lineRule="exact"/>
        <w:ind w:firstLine="640" w:firstLineChars="200"/>
        <w:rPr>
          <w:rFonts w:ascii="方正仿宋_GBK" w:eastAsia="方正仿宋_GBK" w:cs="黑体"/>
          <w:sz w:val="32"/>
          <w:szCs w:val="32"/>
        </w:rPr>
      </w:pPr>
      <w:r>
        <w:rPr>
          <w:rFonts w:hint="eastAsia" w:ascii="方正仿宋_GBK" w:eastAsia="方正仿宋_GBK" w:cs="黑体"/>
          <w:sz w:val="32"/>
          <w:szCs w:val="32"/>
        </w:rPr>
        <w:t>符合上述条件之一的优秀创业项目及创业企业，在提交资料并通过广州股权交易中心审核后，即可挂牌进行融资交易。</w:t>
      </w:r>
    </w:p>
    <w:p>
      <w:pPr>
        <w:pStyle w:val="13"/>
        <w:autoSpaceDE w:val="0"/>
        <w:spacing w:line="540" w:lineRule="exact"/>
        <w:ind w:firstLine="64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三、申请挂牌方式</w:t>
      </w:r>
    </w:p>
    <w:p>
      <w:pPr>
        <w:autoSpaceDE w:val="0"/>
        <w:spacing w:line="540" w:lineRule="exact"/>
        <w:ind w:firstLine="640" w:firstLineChars="200"/>
        <w:rPr>
          <w:rFonts w:ascii="方正仿宋_GBK" w:eastAsia="方正仿宋_GBK" w:cs="黑体"/>
          <w:sz w:val="32"/>
          <w:szCs w:val="32"/>
        </w:rPr>
      </w:pPr>
      <w:r>
        <w:rPr>
          <w:rFonts w:hint="eastAsia" w:ascii="方正仿宋_GBK" w:eastAsia="方正仿宋_GBK" w:cs="黑体"/>
          <w:sz w:val="32"/>
          <w:szCs w:val="32"/>
        </w:rPr>
        <w:t>1. 线上自助申请：</w:t>
      </w:r>
    </w:p>
    <w:p>
      <w:pPr>
        <w:autoSpaceDE w:val="0"/>
        <w:spacing w:line="540" w:lineRule="exact"/>
        <w:ind w:firstLine="640" w:firstLineChars="200"/>
        <w:rPr>
          <w:rFonts w:ascii="方正仿宋_GBK" w:eastAsia="方正仿宋_GBK" w:cs="黑体"/>
          <w:sz w:val="32"/>
          <w:szCs w:val="32"/>
        </w:rPr>
      </w:pPr>
      <w:r>
        <w:rPr>
          <w:rFonts w:hint="eastAsia" w:ascii="方正仿宋_GBK" w:eastAsia="方正仿宋_GBK" w:cs="黑体"/>
          <w:sz w:val="32"/>
          <w:szCs w:val="32"/>
        </w:rPr>
        <w:t>登陆“中国青创板”官网</w:t>
      </w:r>
      <w:r>
        <w:rPr>
          <w:rFonts w:ascii="Times New Roman" w:hAnsi="Times New Roman" w:eastAsia="方正仿宋_GBK"/>
          <w:sz w:val="32"/>
          <w:szCs w:val="32"/>
        </w:rPr>
        <w:t>（www.chinayouthgem.com</w:t>
      </w:r>
      <w:r>
        <w:rPr>
          <w:rFonts w:hint="eastAsia" w:ascii="方正仿宋_GBK" w:hAnsi="方正仿宋_GBK" w:eastAsia="方正仿宋_GBK" w:cs="方正仿宋_GBK"/>
          <w:sz w:val="32"/>
          <w:szCs w:val="32"/>
        </w:rPr>
        <w:t>）</w:t>
      </w:r>
      <w:r>
        <w:rPr>
          <w:rFonts w:hint="eastAsia" w:ascii="方正仿宋_GBK" w:eastAsia="方正仿宋_GBK" w:cs="黑体"/>
          <w:sz w:val="32"/>
          <w:szCs w:val="32"/>
        </w:rPr>
        <w:t>，点击首页上方的“创建项目”，根据提示完成账号注册，录入项目信息并提交即可。</w:t>
      </w:r>
    </w:p>
    <w:p>
      <w:pPr>
        <w:autoSpaceDE w:val="0"/>
        <w:spacing w:line="540" w:lineRule="exact"/>
        <w:ind w:firstLine="640" w:firstLineChars="200"/>
        <w:rPr>
          <w:rFonts w:ascii="方正仿宋_GBK" w:eastAsia="方正仿宋_GBK" w:cs="黑体"/>
          <w:b/>
          <w:sz w:val="32"/>
          <w:szCs w:val="32"/>
        </w:rPr>
      </w:pPr>
      <w:r>
        <w:rPr>
          <w:rFonts w:hint="eastAsia" w:ascii="方正仿宋_GBK" w:eastAsia="方正仿宋_GBK" w:cs="黑体"/>
          <w:sz w:val="32"/>
          <w:szCs w:val="32"/>
        </w:rPr>
        <w:t>2. 组织推荐：</w:t>
      </w:r>
    </w:p>
    <w:p>
      <w:pPr>
        <w:autoSpaceDE w:val="0"/>
        <w:spacing w:line="540" w:lineRule="exact"/>
        <w:ind w:firstLine="630" w:firstLineChars="300"/>
        <w:rPr>
          <w:rFonts w:ascii="方正仿宋_GBK" w:eastAsia="方正仿宋_GBK" w:cs="黑体"/>
          <w:sz w:val="32"/>
          <w:szCs w:val="32"/>
        </w:rPr>
      </w:pPr>
      <w:r>
        <w:fldChar w:fldCharType="begin"/>
      </w:r>
      <w:r>
        <w:instrText xml:space="preserve"> HYPERLINK "mailto:经中国青创板认可的组织推荐，包括但不限于市级以上共青团组织、创业大赛组委会，经过合法注册或备案的高等院校、孵化器、投资机构及其他专业服务机构，上板申请手续可由组织代理实施。经由组织推荐的项目须提供完整的项目信息，填写附件后申请表，并提交商业计划书、PPT、代理声明、组织推荐函等电子版材料，发送至邮箱youthgem@163.com，请以\\" </w:instrText>
      </w:r>
      <w:r>
        <w:fldChar w:fldCharType="separate"/>
      </w:r>
      <w:r>
        <w:rPr>
          <w:rStyle w:val="7"/>
          <w:rFonts w:hint="eastAsia" w:ascii="方正仿宋_GBK" w:eastAsia="方正仿宋_GBK" w:cs="黑体"/>
          <w:color w:val="auto"/>
          <w:sz w:val="32"/>
          <w:szCs w:val="32"/>
          <w:u w:val="none"/>
        </w:rPr>
        <w:t>经中国青创板认可的组织推荐，包括但不限于市级以上共青团组织、创业大赛组委会，经过合法注册或备案的高等院校、孵化器、投资机构及其他专业服务机构，挂牌申请手续可由组织代理实施。经由组织推荐的项目须提供完整的项目信息，</w:t>
      </w:r>
      <w:r>
        <w:rPr>
          <w:rStyle w:val="7"/>
          <w:rFonts w:hint="eastAsia" w:ascii="方正仿宋_GBK" w:eastAsia="方正仿宋_GBK" w:cs="黑体"/>
          <w:b/>
          <w:color w:val="auto"/>
          <w:sz w:val="32"/>
          <w:szCs w:val="32"/>
          <w:u w:val="none"/>
        </w:rPr>
        <w:t>填写附件</w:t>
      </w:r>
      <w:r>
        <w:rPr>
          <w:rStyle w:val="7"/>
          <w:rFonts w:hint="eastAsia" w:ascii="方正仿宋_GBK" w:eastAsia="方正仿宋_GBK" w:cs="黑体"/>
          <w:color w:val="auto"/>
          <w:sz w:val="32"/>
          <w:szCs w:val="32"/>
          <w:u w:val="none"/>
        </w:rPr>
        <w:t>，并提交商业计划书、PPT、代理声明、组织推荐函等电子版材料，发送至邮箱youthgem@163.com，请以“XXXX（推荐单位名称）推荐中国青创板挂板项目”作为邮件标题。推荐单位请务必标出，以便记录各单位推荐的项目数量。</w:t>
      </w:r>
      <w:r>
        <w:rPr>
          <w:rStyle w:val="7"/>
          <w:rFonts w:hint="eastAsia" w:ascii="方正仿宋_GBK" w:eastAsia="方正仿宋_GBK" w:cs="黑体"/>
          <w:color w:val="auto"/>
          <w:sz w:val="32"/>
          <w:szCs w:val="32"/>
          <w:u w:val="none"/>
        </w:rPr>
        <w:fldChar w:fldCharType="end"/>
      </w:r>
    </w:p>
    <w:p>
      <w:pPr>
        <w:autoSpaceDE w:val="0"/>
        <w:spacing w:line="540" w:lineRule="exact"/>
        <w:ind w:firstLine="643" w:firstLineChars="200"/>
        <w:rPr>
          <w:rFonts w:ascii="方正仿宋_GBK" w:eastAsia="方正仿宋_GBK" w:cs="黑体"/>
          <w:sz w:val="32"/>
          <w:szCs w:val="32"/>
        </w:rPr>
      </w:pPr>
      <w:r>
        <w:rPr>
          <w:rFonts w:hint="eastAsia" w:ascii="方正仿宋_GBK" w:eastAsia="方正仿宋_GBK" w:cs="黑体"/>
          <w:b/>
          <w:sz w:val="32"/>
          <w:szCs w:val="32"/>
        </w:rPr>
        <w:t>备注：</w:t>
      </w:r>
      <w:r>
        <w:rPr>
          <w:rFonts w:hint="eastAsia" w:ascii="方正仿宋_GBK" w:eastAsia="方正仿宋_GBK" w:cs="黑体"/>
          <w:sz w:val="32"/>
          <w:szCs w:val="32"/>
        </w:rPr>
        <w:t>创业团队所提供的信息将作为挂牌资料谨慎使用，其中商业模式、核心竞争力、财务运营数据及状况、主要联系人及联系方式等内部资料，只作为内部审核依据不对外公开，其余可公开信息将会在中国青创板官网www.chinayouthgem.com上公开展示，以方便投资机构及合作方查阅，提高项目曝光度。有合作意向的机构需通过中国青创板与您对接联系。提交资料并成功挂牌的项目，中国青创板平台将安排专人联系，对接提供孵化培育、规范辅导、登记托管、挂牌展示、投融资对接等各种综合金融服务。</w:t>
      </w:r>
    </w:p>
    <w:p>
      <w:pPr>
        <w:pStyle w:val="13"/>
        <w:autoSpaceDE w:val="0"/>
        <w:spacing w:line="540" w:lineRule="exact"/>
        <w:ind w:firstLine="640"/>
        <w:rPr>
          <w:rFonts w:ascii="方正黑体_GBK" w:hAnsi="方正黑体_GBK" w:eastAsia="方正黑体_GBK" w:cs="方正黑体_GBK"/>
          <w:sz w:val="28"/>
          <w:szCs w:val="28"/>
        </w:rPr>
      </w:pPr>
      <w:r>
        <w:rPr>
          <w:rFonts w:hint="eastAsia" w:ascii="方正黑体_GBK" w:hAnsi="方正黑体_GBK" w:eastAsia="方正黑体_GBK" w:cs="方正黑体_GBK"/>
          <w:sz w:val="32"/>
          <w:szCs w:val="32"/>
        </w:rPr>
        <w:t>四、挂牌项目审核流程</w:t>
      </w:r>
    </w:p>
    <w:p>
      <w:pPr>
        <w:autoSpaceDE w:val="0"/>
        <w:spacing w:line="540" w:lineRule="exact"/>
        <w:ind w:firstLine="640" w:firstLineChars="200"/>
        <w:rPr>
          <w:rFonts w:ascii="方正仿宋_GBK" w:eastAsia="方正仿宋_GBK" w:cs="黑体"/>
          <w:sz w:val="32"/>
          <w:szCs w:val="32"/>
        </w:rPr>
      </w:pPr>
      <w:r>
        <w:rPr>
          <w:rFonts w:hint="eastAsia" w:ascii="方正仿宋_GBK" w:eastAsia="方正仿宋_GBK" w:cs="黑体"/>
          <w:sz w:val="32"/>
          <w:szCs w:val="32"/>
        </w:rPr>
        <w:t>1. “中国青创板”授权广州股权交易中心，按照</w:t>
      </w:r>
      <w:r>
        <w:rPr>
          <w:rFonts w:hint="eastAsia" w:ascii="方正仿宋_GBK" w:eastAsia="方正仿宋_GBK" w:cs="黑体"/>
          <w:b/>
          <w:sz w:val="32"/>
          <w:szCs w:val="32"/>
        </w:rPr>
        <w:t>挂牌项目（企业）标准</w:t>
      </w:r>
      <w:r>
        <w:rPr>
          <w:rFonts w:hint="eastAsia" w:ascii="方正仿宋_GBK" w:eastAsia="方正仿宋_GBK" w:cs="黑体"/>
          <w:sz w:val="32"/>
          <w:szCs w:val="32"/>
        </w:rPr>
        <w:t>对申报创业项目和初创企业进行形式审核。在资料完整的前提下，“中国青创板”将在10个工作日内完成项目审核程序。</w:t>
      </w:r>
    </w:p>
    <w:p>
      <w:pPr>
        <w:autoSpaceDE w:val="0"/>
        <w:spacing w:line="540" w:lineRule="exact"/>
        <w:ind w:firstLine="640" w:firstLineChars="200"/>
        <w:rPr>
          <w:rFonts w:ascii="方正仿宋_GBK" w:eastAsia="方正仿宋_GBK" w:cs="黑体"/>
          <w:sz w:val="32"/>
          <w:szCs w:val="32"/>
        </w:rPr>
      </w:pPr>
      <w:r>
        <w:rPr>
          <w:rFonts w:hint="eastAsia" w:ascii="方正仿宋_GBK" w:eastAsia="方正仿宋_GBK" w:cs="黑体"/>
          <w:sz w:val="32"/>
          <w:szCs w:val="32"/>
        </w:rPr>
        <w:t>2. 如审核未通过，将由工作人员联系项目方或推荐机构，完成后续资料补充工作。</w:t>
      </w:r>
    </w:p>
    <w:p>
      <w:pPr>
        <w:pStyle w:val="13"/>
        <w:autoSpaceDE w:val="0"/>
        <w:spacing w:line="540" w:lineRule="exact"/>
        <w:ind w:firstLine="64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五、挂牌展示</w:t>
      </w:r>
    </w:p>
    <w:p>
      <w:pPr>
        <w:autoSpaceDE w:val="0"/>
        <w:spacing w:line="540" w:lineRule="exact"/>
        <w:ind w:firstLine="640" w:firstLineChars="200"/>
        <w:rPr>
          <w:rFonts w:ascii="方正仿宋_GBK" w:eastAsia="方正仿宋_GBK" w:cs="黑体"/>
          <w:sz w:val="32"/>
          <w:szCs w:val="32"/>
        </w:rPr>
      </w:pPr>
      <w:r>
        <w:rPr>
          <w:rFonts w:hint="eastAsia" w:ascii="方正仿宋_GBK" w:eastAsia="方正仿宋_GBK" w:cs="黑体"/>
          <w:sz w:val="32"/>
          <w:szCs w:val="32"/>
        </w:rPr>
        <w:t>广州股权交易中心将通过审核的创业项目和初创企业在中国青创板官网</w:t>
      </w:r>
      <w:r>
        <w:rPr>
          <w:rFonts w:ascii="Times New Roman" w:hAnsi="Times New Roman" w:eastAsia="方正仿宋_GBK"/>
          <w:sz w:val="32"/>
          <w:szCs w:val="32"/>
        </w:rPr>
        <w:t>（www.chinayouthgem.com</w:t>
      </w:r>
      <w:r>
        <w:rPr>
          <w:rFonts w:hint="eastAsia" w:ascii="方正仿宋_GBK" w:hAnsi="方正仿宋_GBK" w:eastAsia="方正仿宋_GBK" w:cs="方正仿宋_GBK"/>
          <w:sz w:val="32"/>
          <w:szCs w:val="32"/>
        </w:rPr>
        <w:t>）</w:t>
      </w:r>
      <w:r>
        <w:rPr>
          <w:rFonts w:hint="eastAsia" w:ascii="方正仿宋_GBK" w:eastAsia="方正仿宋_GBK" w:cs="黑体"/>
          <w:sz w:val="32"/>
          <w:szCs w:val="32"/>
        </w:rPr>
        <w:t>、广州股权交易中心微信公众号（gzgqjyzx）进行挂牌展示和宣传推介。</w:t>
      </w:r>
    </w:p>
    <w:p>
      <w:pPr>
        <w:pStyle w:val="13"/>
        <w:autoSpaceDE w:val="0"/>
        <w:spacing w:line="540" w:lineRule="exact"/>
        <w:ind w:firstLine="64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六、投融资对接</w:t>
      </w:r>
    </w:p>
    <w:p>
      <w:pPr>
        <w:autoSpaceDE w:val="0"/>
        <w:spacing w:line="540" w:lineRule="exact"/>
        <w:ind w:firstLine="640" w:firstLineChars="200"/>
        <w:rPr>
          <w:rFonts w:ascii="方正仿宋_GBK" w:eastAsia="方正仿宋_GBK" w:cs="黑体"/>
          <w:sz w:val="32"/>
          <w:szCs w:val="32"/>
        </w:rPr>
      </w:pPr>
      <w:r>
        <w:rPr>
          <w:rFonts w:hint="eastAsia" w:ascii="方正仿宋_GBK" w:eastAsia="方正仿宋_GBK" w:cs="黑体"/>
          <w:sz w:val="32"/>
          <w:szCs w:val="32"/>
        </w:rPr>
        <w:t>由广州股权交易中心多年从事投融资服务的业务专家组成融资服务团队，全程跟进创业项目及创业企业的融资活动。根据项目融资意愿和经营状况，进行分类管理和定向服务。其中，重点了解挂牌项目的融资意向及企业情况，对企业开展初步尽职调查，根据企业所处阶段匹配相应的意向投资机构。</w:t>
      </w:r>
    </w:p>
    <w:p>
      <w:pPr>
        <w:autoSpaceDE w:val="0"/>
        <w:spacing w:line="540" w:lineRule="exact"/>
        <w:ind w:firstLine="640" w:firstLineChars="200"/>
        <w:rPr>
          <w:rFonts w:ascii="方正仿宋_GBK" w:eastAsia="方正仿宋_GBK" w:cs="黑体"/>
          <w:sz w:val="32"/>
          <w:szCs w:val="32"/>
        </w:rPr>
      </w:pPr>
      <w:r>
        <w:rPr>
          <w:rFonts w:hint="eastAsia" w:ascii="方正仿宋_GBK" w:eastAsia="方正仿宋_GBK" w:cs="黑体"/>
          <w:sz w:val="32"/>
          <w:szCs w:val="32"/>
        </w:rPr>
        <w:t>中国青创板挂牌项目要成为融资标的，需同时满足以下条件：企业信息齐备，团队稳定，商业计划书和PPT逻辑清晰，融资需求明确，估值合理。</w:t>
      </w:r>
    </w:p>
    <w:p>
      <w:pPr>
        <w:autoSpaceDE w:val="0"/>
        <w:spacing w:line="540" w:lineRule="exact"/>
        <w:ind w:firstLine="640" w:firstLineChars="200"/>
        <w:rPr>
          <w:rFonts w:ascii="方正仿宋_GBK" w:eastAsia="方正仿宋_GBK" w:cs="黑体"/>
          <w:sz w:val="32"/>
          <w:szCs w:val="32"/>
        </w:rPr>
      </w:pPr>
      <w:r>
        <w:rPr>
          <w:rFonts w:hint="eastAsia" w:ascii="方正仿宋_GBK" w:eastAsia="方正仿宋_GBK" w:cs="黑体"/>
          <w:sz w:val="32"/>
          <w:szCs w:val="32"/>
        </w:rPr>
        <w:t>融资形式主要包括：</w:t>
      </w:r>
    </w:p>
    <w:p>
      <w:pPr>
        <w:autoSpaceDE w:val="0"/>
        <w:spacing w:line="540" w:lineRule="exact"/>
        <w:ind w:firstLine="640" w:firstLineChars="200"/>
        <w:rPr>
          <w:rFonts w:ascii="方正仿宋_GBK" w:eastAsia="方正仿宋_GBK" w:cs="黑体"/>
          <w:sz w:val="32"/>
          <w:szCs w:val="32"/>
        </w:rPr>
      </w:pPr>
      <w:r>
        <w:rPr>
          <w:rFonts w:hint="eastAsia" w:ascii="方正仿宋_GBK" w:eastAsia="方正仿宋_GBK" w:cs="黑体"/>
          <w:sz w:val="32"/>
          <w:szCs w:val="32"/>
        </w:rPr>
        <w:t>一是根据企业和投资机构的投资需求，在挂牌项目中筛选服务标的，并持续跟进标的融资进程。</w:t>
      </w:r>
    </w:p>
    <w:p>
      <w:pPr>
        <w:autoSpaceDE w:val="0"/>
        <w:spacing w:line="540" w:lineRule="exact"/>
        <w:ind w:firstLine="640" w:firstLineChars="200"/>
        <w:rPr>
          <w:rFonts w:ascii="方正仿宋_GBK" w:eastAsia="方正仿宋_GBK" w:cs="黑体"/>
          <w:sz w:val="32"/>
          <w:szCs w:val="32"/>
        </w:rPr>
      </w:pPr>
      <w:r>
        <w:rPr>
          <w:rFonts w:hint="eastAsia" w:ascii="方正仿宋_GBK" w:eastAsia="方正仿宋_GBK" w:cs="黑体"/>
          <w:sz w:val="32"/>
          <w:szCs w:val="32"/>
        </w:rPr>
        <w:t>二是为融资项目提供定制化专业金融服务。</w:t>
      </w:r>
    </w:p>
    <w:p>
      <w:pPr>
        <w:autoSpaceDE w:val="0"/>
        <w:spacing w:line="540" w:lineRule="exact"/>
        <w:ind w:firstLine="640" w:firstLineChars="200"/>
        <w:rPr>
          <w:rFonts w:ascii="方正仿宋_GBK" w:eastAsia="方正仿宋_GBK" w:cs="黑体"/>
          <w:sz w:val="32"/>
          <w:szCs w:val="32"/>
        </w:rPr>
      </w:pPr>
      <w:r>
        <w:rPr>
          <w:rFonts w:hint="eastAsia" w:ascii="方正仿宋_GBK" w:eastAsia="方正仿宋_GBK" w:cs="黑体"/>
          <w:sz w:val="32"/>
          <w:szCs w:val="32"/>
        </w:rPr>
        <w:t>三是整合各地政策及行业资源为项目提供增值服务。中国青创板整合创投机构及各类大赛资源，为优质项目提供项目路演机会，邀请投资者参与点评及辅导，投资者对意向投资项目进行尽职调查后，可实现线下资金募集。</w:t>
      </w:r>
    </w:p>
    <w:p>
      <w:pPr>
        <w:pStyle w:val="13"/>
        <w:autoSpaceDE w:val="0"/>
        <w:spacing w:line="540" w:lineRule="exact"/>
        <w:ind w:firstLine="64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七、孵化培育</w:t>
      </w:r>
    </w:p>
    <w:p>
      <w:pPr>
        <w:autoSpaceDE w:val="0"/>
        <w:spacing w:line="540" w:lineRule="exact"/>
        <w:ind w:firstLine="640" w:firstLineChars="200"/>
        <w:rPr>
          <w:rFonts w:ascii="方正仿宋_GBK" w:eastAsia="方正仿宋_GBK" w:cs="黑体"/>
          <w:sz w:val="32"/>
          <w:szCs w:val="32"/>
        </w:rPr>
      </w:pPr>
      <w:r>
        <w:rPr>
          <w:rFonts w:hint="eastAsia" w:ascii="方正仿宋_GBK" w:eastAsia="方正仿宋_GBK" w:cs="黑体"/>
          <w:sz w:val="32"/>
          <w:szCs w:val="32"/>
        </w:rPr>
        <w:t>为了让优秀的创业项目和初创企业更好更快的成长，中国青创板将匹配合适的创业导师对创业项目和初创企业进行跟踪辅导。辅导形式主要有以下三种：</w:t>
      </w:r>
    </w:p>
    <w:p>
      <w:pPr>
        <w:autoSpaceDE w:val="0"/>
        <w:spacing w:line="540" w:lineRule="exact"/>
        <w:ind w:firstLine="643" w:firstLineChars="200"/>
        <w:rPr>
          <w:rFonts w:ascii="方正仿宋_GBK" w:eastAsia="方正仿宋_GBK" w:cs="黑体"/>
          <w:sz w:val="32"/>
          <w:szCs w:val="32"/>
        </w:rPr>
      </w:pPr>
      <w:r>
        <w:rPr>
          <w:rFonts w:hint="eastAsia" w:ascii="方正仿宋_GBK" w:eastAsia="方正仿宋_GBK" w:cs="黑体"/>
          <w:b/>
          <w:sz w:val="32"/>
          <w:szCs w:val="32"/>
        </w:rPr>
        <w:t>1. 互联网定制辅导：</w:t>
      </w:r>
      <w:r>
        <w:rPr>
          <w:rFonts w:hint="eastAsia" w:ascii="方正仿宋_GBK" w:eastAsia="方正仿宋_GBK" w:cs="黑体"/>
          <w:sz w:val="32"/>
          <w:szCs w:val="32"/>
        </w:rPr>
        <w:t>通过对优秀项目和初创企业辅导需求的征集整理，结合专家评审会意见，确定具体辅导内容。根据辅导内容从创业辅导委员会中匹配合适的创业导师，通过网络、音视频等互联网形式开展线上辅导。</w:t>
      </w:r>
    </w:p>
    <w:p>
      <w:pPr>
        <w:autoSpaceDE w:val="0"/>
        <w:spacing w:line="540" w:lineRule="exact"/>
        <w:ind w:firstLine="643" w:firstLineChars="200"/>
        <w:rPr>
          <w:rFonts w:ascii="方正仿宋_GBK" w:eastAsia="方正仿宋_GBK" w:cs="黑体"/>
          <w:sz w:val="32"/>
          <w:szCs w:val="32"/>
        </w:rPr>
      </w:pPr>
      <w:r>
        <w:rPr>
          <w:rFonts w:hint="eastAsia" w:ascii="方正仿宋_GBK" w:eastAsia="方正仿宋_GBK" w:cs="黑体"/>
          <w:b/>
          <w:sz w:val="32"/>
          <w:szCs w:val="32"/>
        </w:rPr>
        <w:t>2. 创业导师巡回辅导：</w:t>
      </w:r>
      <w:r>
        <w:rPr>
          <w:rFonts w:hint="eastAsia" w:ascii="方正仿宋_GBK" w:eastAsia="方正仿宋_GBK" w:cs="黑体"/>
          <w:sz w:val="32"/>
          <w:szCs w:val="32"/>
        </w:rPr>
        <w:t>根据各地创业项目和初创企业需求制定辅导培训方案，从创业辅导委员会中遴选创业导师赴各地开展专题讲座、创业沙龙、辅导报告、座谈会等形式多样的创新创业专题辅导活动。</w:t>
      </w:r>
    </w:p>
    <w:p>
      <w:pPr>
        <w:autoSpaceDE w:val="0"/>
        <w:spacing w:line="540" w:lineRule="exact"/>
        <w:ind w:firstLine="643" w:firstLineChars="200"/>
        <w:rPr>
          <w:rFonts w:ascii="方正仿宋_GBK" w:eastAsia="方正仿宋_GBK" w:cs="黑体"/>
          <w:sz w:val="32"/>
          <w:szCs w:val="32"/>
        </w:rPr>
      </w:pPr>
      <w:r>
        <w:rPr>
          <w:rFonts w:hint="eastAsia" w:ascii="方正仿宋_GBK" w:eastAsia="方正仿宋_GBK" w:cs="黑体"/>
          <w:b/>
          <w:sz w:val="32"/>
          <w:szCs w:val="32"/>
        </w:rPr>
        <w:t>3. 青创100培训班：</w:t>
      </w:r>
      <w:r>
        <w:rPr>
          <w:rFonts w:hint="eastAsia" w:ascii="方正仿宋_GBK" w:eastAsia="方正仿宋_GBK" w:cs="黑体"/>
          <w:sz w:val="32"/>
          <w:szCs w:val="32"/>
        </w:rPr>
        <w:t>每年从中国青创板项目库中筛选一定数量的优质创业项目和企业创始人，在一年中不定期集中开展培训，着重为学员提供资本市场系统培训、跨行业资源对接、创业经验交流、素质拓展、能力提升等服务。</w:t>
      </w:r>
    </w:p>
    <w:p>
      <w:pPr>
        <w:autoSpaceDE w:val="0"/>
        <w:spacing w:line="540" w:lineRule="exact"/>
        <w:ind w:firstLine="643" w:firstLineChars="200"/>
        <w:rPr>
          <w:rFonts w:ascii="方正仿宋_GBK" w:eastAsia="方正仿宋_GBK" w:cs="黑体"/>
          <w:sz w:val="32"/>
          <w:szCs w:val="32"/>
        </w:rPr>
      </w:pPr>
      <w:r>
        <w:rPr>
          <w:rFonts w:hint="eastAsia" w:ascii="方正仿宋_GBK" w:eastAsia="方正仿宋_GBK" w:cs="黑体"/>
          <w:b/>
          <w:sz w:val="32"/>
          <w:szCs w:val="32"/>
        </w:rPr>
        <w:t>4. 线下孵化集群：</w:t>
      </w:r>
      <w:r>
        <w:rPr>
          <w:rFonts w:hint="eastAsia" w:ascii="方正仿宋_GBK" w:eastAsia="方正仿宋_GBK" w:cs="黑体"/>
          <w:sz w:val="32"/>
          <w:szCs w:val="32"/>
        </w:rPr>
        <w:t>中国青创板联合各地政府、团组织、孵化器、产业园区、投融资机构等，在全国各地通过设立孵化基地、项目落地示范区、运营服务中心、孵化基地、服务站等形式共建“中国青创板线下服务基地集群”，为挂牌的项目（企业）提供落地、孵化、培训、资源对接等方面服务，助力企业规范发展、快速成长，拉动地方产业和经济全面、快速、健康发展。目前，广州南沙、深圳前海、珠海横琴、佛山、韶关、河源、梅州、东莞、中山、江门、阳江、湛江、清远、揭阳等28个地市已相继建立了形式不一的中国青创板线下服务站点，根据当地需求和特色，开展服务，为中国青创板线下孵化集群的运营开创了相关经验。</w:t>
      </w:r>
    </w:p>
    <w:p>
      <w:pPr>
        <w:pStyle w:val="13"/>
        <w:autoSpaceDE w:val="0"/>
        <w:spacing w:line="540" w:lineRule="exact"/>
        <w:ind w:firstLine="640"/>
        <w:rPr>
          <w:rFonts w:ascii="方正黑体_GBK" w:hAnsi="方正黑体_GBK" w:eastAsia="方正黑体_GBK" w:cs="方正黑体_GBK"/>
          <w:sz w:val="28"/>
          <w:szCs w:val="28"/>
        </w:rPr>
      </w:pPr>
      <w:r>
        <w:rPr>
          <w:rFonts w:hint="eastAsia" w:ascii="方正黑体_GBK" w:hAnsi="方正黑体_GBK" w:eastAsia="方正黑体_GBK" w:cs="方正黑体_GBK"/>
          <w:sz w:val="32"/>
          <w:szCs w:val="32"/>
        </w:rPr>
        <w:t>八、持续服务</w:t>
      </w:r>
    </w:p>
    <w:p>
      <w:pPr>
        <w:autoSpaceDE w:val="0"/>
        <w:spacing w:line="540" w:lineRule="exact"/>
        <w:ind w:firstLine="640" w:firstLineChars="200"/>
        <w:rPr>
          <w:rFonts w:ascii="方正仿宋_GBK" w:eastAsia="方正仿宋_GBK" w:cs="黑体"/>
          <w:sz w:val="32"/>
          <w:szCs w:val="32"/>
        </w:rPr>
      </w:pPr>
      <w:r>
        <w:rPr>
          <w:rFonts w:hint="eastAsia" w:ascii="方正仿宋_GBK" w:eastAsia="方正仿宋_GBK" w:cs="黑体"/>
          <w:sz w:val="32"/>
          <w:szCs w:val="32"/>
        </w:rPr>
        <w:t>为了更好的服务在中国青创板挂牌的创业项目和初创企业，广州股权交易中心将为已完成A轮融资的挂牌项目提供持续性金融服务，包括后续的B轮及C轮投融资对接服务，符合转板条件的挂牌项目，可升级为中心挂牌企业，成熟的挂牌企业向新三板、创业板和中小板推荐挂牌、上市。</w:t>
      </w:r>
    </w:p>
    <w:p>
      <w:pPr>
        <w:autoSpaceDE w:val="0"/>
        <w:spacing w:line="540" w:lineRule="exact"/>
        <w:ind w:firstLine="640" w:firstLineChars="200"/>
        <w:rPr>
          <w:rFonts w:ascii="方正仿宋_GBK" w:eastAsia="方正仿宋_GBK" w:cs="黑体"/>
          <w:sz w:val="32"/>
          <w:szCs w:val="32"/>
        </w:rPr>
      </w:pPr>
      <w:r>
        <w:rPr>
          <w:rFonts w:hint="eastAsia" w:ascii="方正仿宋_GBK" w:eastAsia="方正仿宋_GBK" w:cs="黑体"/>
          <w:sz w:val="32"/>
          <w:szCs w:val="32"/>
        </w:rPr>
        <w:t>此外，中国青创板的投后管理业务内容还包括媒体宣传、人力资源、技术对接、信息披露、股权转让、并购/退出等方面，主要由中国青创板认定的具备相应资源和资质的合作机构跟进服务</w:t>
      </w:r>
    </w:p>
    <w:p>
      <w:pPr>
        <w:autoSpaceDE w:val="0"/>
        <w:spacing w:line="54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autoSpaceDE w:val="0"/>
        <w:spacing w:line="540" w:lineRule="exact"/>
        <w:rPr>
          <w:rFonts w:ascii="方正仿宋_GBK" w:eastAsia="方正仿宋_GBK" w:cs="黑体"/>
          <w:sz w:val="32"/>
          <w:szCs w:val="32"/>
        </w:rPr>
      </w:pPr>
    </w:p>
    <w:tbl>
      <w:tblPr>
        <w:tblStyle w:val="8"/>
        <w:tblW w:w="9486" w:type="dxa"/>
        <w:tblInd w:w="136" w:type="dxa"/>
        <w:tblLayout w:type="fixed"/>
        <w:tblCellMar>
          <w:top w:w="0" w:type="dxa"/>
          <w:left w:w="108" w:type="dxa"/>
          <w:bottom w:w="0" w:type="dxa"/>
          <w:right w:w="108" w:type="dxa"/>
        </w:tblCellMar>
      </w:tblPr>
      <w:tblGrid>
        <w:gridCol w:w="1381"/>
        <w:gridCol w:w="17"/>
        <w:gridCol w:w="1262"/>
        <w:gridCol w:w="218"/>
        <w:gridCol w:w="449"/>
        <w:gridCol w:w="931"/>
        <w:gridCol w:w="233"/>
        <w:gridCol w:w="1135"/>
        <w:gridCol w:w="642"/>
        <w:gridCol w:w="276"/>
        <w:gridCol w:w="1175"/>
        <w:gridCol w:w="325"/>
        <w:gridCol w:w="1442"/>
      </w:tblGrid>
      <w:tr>
        <w:tblPrEx>
          <w:tblLayout w:type="fixed"/>
          <w:tblCellMar>
            <w:top w:w="0" w:type="dxa"/>
            <w:left w:w="108" w:type="dxa"/>
            <w:bottom w:w="0" w:type="dxa"/>
            <w:right w:w="108" w:type="dxa"/>
          </w:tblCellMar>
        </w:tblPrEx>
        <w:trPr>
          <w:trHeight w:val="527" w:hRule="atLeast"/>
        </w:trPr>
        <w:tc>
          <w:tcPr>
            <w:tcW w:w="9486" w:type="dxa"/>
            <w:gridSpan w:val="13"/>
            <w:tcBorders>
              <w:top w:val="nil"/>
              <w:left w:val="nil"/>
              <w:bottom w:val="single" w:color="auto" w:sz="8" w:space="0"/>
              <w:right w:val="nil"/>
            </w:tcBorders>
            <w:vAlign w:val="center"/>
          </w:tcPr>
          <w:p>
            <w:pPr>
              <w:jc w:val="center"/>
              <w:rPr>
                <w:rFonts w:ascii="方正小标宋简体" w:hAnsi="仿宋" w:eastAsia="方正小标宋简体" w:cs="黑体"/>
                <w:b/>
                <w:sz w:val="44"/>
                <w:szCs w:val="44"/>
              </w:rPr>
            </w:pPr>
            <w:r>
              <w:rPr>
                <w:rFonts w:hint="eastAsia" w:ascii="方正小标宋简体" w:hAnsi="仿宋" w:eastAsia="方正小标宋简体" w:cs="黑体"/>
                <w:sz w:val="44"/>
                <w:szCs w:val="44"/>
                <w:lang w:bidi="ar"/>
              </w:rPr>
              <w:t>“中国青创板”项目（企业）申请挂牌信息表</w:t>
            </w:r>
          </w:p>
        </w:tc>
      </w:tr>
      <w:tr>
        <w:tblPrEx>
          <w:tblLayout w:type="fixed"/>
          <w:tblCellMar>
            <w:top w:w="0" w:type="dxa"/>
            <w:left w:w="108" w:type="dxa"/>
            <w:bottom w:w="0" w:type="dxa"/>
            <w:right w:w="108" w:type="dxa"/>
          </w:tblCellMar>
        </w:tblPrEx>
        <w:trPr>
          <w:trHeight w:val="539" w:hRule="atLeast"/>
        </w:trPr>
        <w:tc>
          <w:tcPr>
            <w:tcW w:w="9486" w:type="dxa"/>
            <w:gridSpan w:val="13"/>
            <w:tcBorders>
              <w:top w:val="single" w:color="auto" w:sz="8" w:space="0"/>
              <w:left w:val="single" w:color="auto" w:sz="8" w:space="0"/>
              <w:bottom w:val="single" w:color="auto" w:sz="4" w:space="0"/>
              <w:right w:val="single" w:color="000000" w:sz="8" w:space="0"/>
            </w:tcBorders>
            <w:vAlign w:val="center"/>
          </w:tcPr>
          <w:p>
            <w:pPr>
              <w:widowControl/>
              <w:jc w:val="center"/>
              <w:rPr>
                <w:rFonts w:ascii="仿宋" w:hAnsi="仿宋" w:eastAsia="仿宋" w:cs="宋体"/>
                <w:b/>
                <w:kern w:val="0"/>
                <w:sz w:val="24"/>
              </w:rPr>
            </w:pPr>
            <w:r>
              <w:rPr>
                <w:rFonts w:hint="eastAsia" w:ascii="黑体" w:eastAsia="黑体" w:cs="黑体"/>
                <w:kern w:val="0"/>
                <w:sz w:val="32"/>
                <w:szCs w:val="32"/>
                <w:lang w:bidi="ar"/>
              </w:rPr>
              <w:t>基本情况</w:t>
            </w:r>
          </w:p>
        </w:tc>
      </w:tr>
      <w:tr>
        <w:tblPrEx>
          <w:tblLayout w:type="fixed"/>
          <w:tblCellMar>
            <w:top w:w="0" w:type="dxa"/>
            <w:left w:w="108" w:type="dxa"/>
            <w:bottom w:w="0" w:type="dxa"/>
            <w:right w:w="108" w:type="dxa"/>
          </w:tblCellMar>
        </w:tblPrEx>
        <w:trPr>
          <w:trHeight w:val="476" w:hRule="atLeast"/>
        </w:trPr>
        <w:tc>
          <w:tcPr>
            <w:tcW w:w="1381" w:type="dxa"/>
            <w:tcBorders>
              <w:top w:val="nil"/>
              <w:left w:val="single" w:color="auto" w:sz="8" w:space="0"/>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ascii="仿宋" w:hAnsi="仿宋" w:eastAsia="仿宋" w:cs="宋体"/>
                <w:kern w:val="0"/>
                <w:sz w:val="22"/>
                <w:szCs w:val="22"/>
                <w:lang w:bidi="ar"/>
              </w:rPr>
              <w:t>企业/项目名称</w:t>
            </w:r>
          </w:p>
        </w:tc>
        <w:tc>
          <w:tcPr>
            <w:tcW w:w="8105" w:type="dxa"/>
            <w:gridSpan w:val="12"/>
            <w:tcBorders>
              <w:top w:val="single" w:color="auto" w:sz="4" w:space="0"/>
              <w:left w:val="nil"/>
              <w:bottom w:val="single" w:color="auto" w:sz="4" w:space="0"/>
              <w:right w:val="single" w:color="000000" w:sz="8" w:space="0"/>
            </w:tcBorders>
            <w:vAlign w:val="center"/>
          </w:tcPr>
          <w:p>
            <w:pPr>
              <w:widowControl/>
              <w:jc w:val="right"/>
              <w:rPr>
                <w:rFonts w:ascii="仿宋" w:hAnsi="仿宋" w:eastAsia="仿宋" w:cs="宋体"/>
                <w:kern w:val="0"/>
                <w:sz w:val="22"/>
                <w:szCs w:val="22"/>
              </w:rPr>
            </w:pPr>
          </w:p>
        </w:tc>
      </w:tr>
      <w:tr>
        <w:tblPrEx>
          <w:tblLayout w:type="fixed"/>
          <w:tblCellMar>
            <w:top w:w="0" w:type="dxa"/>
            <w:left w:w="108" w:type="dxa"/>
            <w:bottom w:w="0" w:type="dxa"/>
            <w:right w:w="108" w:type="dxa"/>
          </w:tblCellMar>
        </w:tblPrEx>
        <w:trPr>
          <w:trHeight w:val="476" w:hRule="atLeast"/>
        </w:trPr>
        <w:tc>
          <w:tcPr>
            <w:tcW w:w="1381" w:type="dxa"/>
            <w:tcBorders>
              <w:top w:val="nil"/>
              <w:left w:val="single" w:color="auto" w:sz="8" w:space="0"/>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ascii="仿宋" w:hAnsi="仿宋" w:eastAsia="仿宋" w:cs="宋体"/>
                <w:kern w:val="0"/>
                <w:sz w:val="22"/>
                <w:szCs w:val="22"/>
                <w:lang w:bidi="ar"/>
              </w:rPr>
              <w:t>注册地址</w:t>
            </w:r>
          </w:p>
        </w:tc>
        <w:tc>
          <w:tcPr>
            <w:tcW w:w="5163" w:type="dxa"/>
            <w:gridSpan w:val="9"/>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2"/>
                <w:szCs w:val="22"/>
              </w:rPr>
            </w:pPr>
          </w:p>
        </w:tc>
        <w:tc>
          <w:tcPr>
            <w:tcW w:w="1500"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ascii="仿宋" w:hAnsi="仿宋" w:eastAsia="仿宋" w:cs="宋体"/>
                <w:kern w:val="0"/>
                <w:sz w:val="22"/>
                <w:szCs w:val="22"/>
                <w:lang w:bidi="ar"/>
              </w:rPr>
              <w:t>企业人数</w:t>
            </w:r>
          </w:p>
        </w:tc>
        <w:tc>
          <w:tcPr>
            <w:tcW w:w="1442" w:type="dxa"/>
            <w:tcBorders>
              <w:top w:val="single" w:color="auto" w:sz="4" w:space="0"/>
              <w:left w:val="nil"/>
              <w:bottom w:val="single" w:color="auto" w:sz="4" w:space="0"/>
              <w:right w:val="single" w:color="000000" w:sz="8" w:space="0"/>
            </w:tcBorders>
            <w:vAlign w:val="center"/>
          </w:tcPr>
          <w:p>
            <w:pPr>
              <w:widowControl/>
              <w:jc w:val="center"/>
              <w:rPr>
                <w:rFonts w:ascii="仿宋" w:hAnsi="仿宋" w:eastAsia="仿宋" w:cs="宋体"/>
                <w:kern w:val="0"/>
                <w:sz w:val="22"/>
                <w:szCs w:val="22"/>
              </w:rPr>
            </w:pPr>
          </w:p>
        </w:tc>
      </w:tr>
      <w:tr>
        <w:tblPrEx>
          <w:tblLayout w:type="fixed"/>
          <w:tblCellMar>
            <w:top w:w="0" w:type="dxa"/>
            <w:left w:w="108" w:type="dxa"/>
            <w:bottom w:w="0" w:type="dxa"/>
            <w:right w:w="108" w:type="dxa"/>
          </w:tblCellMar>
        </w:tblPrEx>
        <w:trPr>
          <w:trHeight w:val="476" w:hRule="atLeast"/>
        </w:trPr>
        <w:tc>
          <w:tcPr>
            <w:tcW w:w="1381" w:type="dxa"/>
            <w:tcBorders>
              <w:top w:val="nil"/>
              <w:left w:val="single" w:color="auto" w:sz="8" w:space="0"/>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ascii="仿宋" w:hAnsi="仿宋" w:eastAsia="仿宋" w:cs="宋体"/>
                <w:kern w:val="0"/>
                <w:sz w:val="22"/>
                <w:szCs w:val="22"/>
                <w:lang w:bidi="ar"/>
              </w:rPr>
              <w:t>注册资本</w:t>
            </w:r>
          </w:p>
        </w:tc>
        <w:tc>
          <w:tcPr>
            <w:tcW w:w="5163" w:type="dxa"/>
            <w:gridSpan w:val="9"/>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2"/>
                <w:szCs w:val="22"/>
              </w:rPr>
            </w:pPr>
          </w:p>
        </w:tc>
        <w:tc>
          <w:tcPr>
            <w:tcW w:w="1500"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ascii="仿宋" w:hAnsi="仿宋" w:eastAsia="仿宋" w:cs="宋体"/>
                <w:kern w:val="0"/>
                <w:sz w:val="22"/>
                <w:szCs w:val="22"/>
                <w:lang w:bidi="ar"/>
              </w:rPr>
              <w:t>行业类别</w:t>
            </w:r>
          </w:p>
        </w:tc>
        <w:tc>
          <w:tcPr>
            <w:tcW w:w="1442" w:type="dxa"/>
            <w:tcBorders>
              <w:top w:val="single" w:color="auto" w:sz="4" w:space="0"/>
              <w:left w:val="nil"/>
              <w:bottom w:val="single" w:color="auto" w:sz="4" w:space="0"/>
              <w:right w:val="single" w:color="000000" w:sz="8" w:space="0"/>
            </w:tcBorders>
            <w:vAlign w:val="center"/>
          </w:tcPr>
          <w:p>
            <w:pPr>
              <w:widowControl/>
              <w:jc w:val="center"/>
              <w:rPr>
                <w:rFonts w:ascii="仿宋" w:hAnsi="仿宋" w:eastAsia="仿宋" w:cs="宋体"/>
                <w:kern w:val="0"/>
                <w:sz w:val="22"/>
                <w:szCs w:val="22"/>
              </w:rPr>
            </w:pPr>
          </w:p>
        </w:tc>
      </w:tr>
      <w:tr>
        <w:tblPrEx>
          <w:tblLayout w:type="fixed"/>
          <w:tblCellMar>
            <w:top w:w="0" w:type="dxa"/>
            <w:left w:w="108" w:type="dxa"/>
            <w:bottom w:w="0" w:type="dxa"/>
            <w:right w:w="108" w:type="dxa"/>
          </w:tblCellMar>
        </w:tblPrEx>
        <w:trPr>
          <w:trHeight w:val="476" w:hRule="atLeast"/>
        </w:trPr>
        <w:tc>
          <w:tcPr>
            <w:tcW w:w="138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ascii="仿宋" w:hAnsi="仿宋" w:eastAsia="仿宋" w:cs="宋体"/>
                <w:kern w:val="0"/>
                <w:sz w:val="22"/>
                <w:szCs w:val="22"/>
                <w:lang w:bidi="ar"/>
              </w:rPr>
              <w:t>法定代表人</w:t>
            </w:r>
          </w:p>
        </w:tc>
        <w:tc>
          <w:tcPr>
            <w:tcW w:w="1279" w:type="dxa"/>
            <w:gridSpan w:val="2"/>
            <w:tcBorders>
              <w:top w:val="nil"/>
              <w:left w:val="nil"/>
              <w:bottom w:val="single" w:color="auto" w:sz="4" w:space="0"/>
              <w:right w:val="single" w:color="auto" w:sz="4" w:space="0"/>
            </w:tcBorders>
            <w:vAlign w:val="center"/>
          </w:tcPr>
          <w:p>
            <w:pPr>
              <w:widowControl/>
              <w:rPr>
                <w:rFonts w:ascii="仿宋" w:hAnsi="仿宋" w:eastAsia="仿宋" w:cs="宋体"/>
                <w:kern w:val="0"/>
                <w:sz w:val="22"/>
                <w:szCs w:val="22"/>
              </w:rPr>
            </w:pPr>
          </w:p>
        </w:tc>
        <w:tc>
          <w:tcPr>
            <w:tcW w:w="667"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ascii="仿宋" w:hAnsi="仿宋" w:eastAsia="仿宋" w:cs="宋体"/>
                <w:kern w:val="0"/>
                <w:sz w:val="22"/>
                <w:szCs w:val="22"/>
                <w:lang w:bidi="ar"/>
              </w:rPr>
              <w:t>职务</w:t>
            </w:r>
          </w:p>
        </w:tc>
        <w:tc>
          <w:tcPr>
            <w:tcW w:w="1164" w:type="dxa"/>
            <w:gridSpan w:val="2"/>
            <w:tcBorders>
              <w:top w:val="nil"/>
              <w:left w:val="nil"/>
              <w:bottom w:val="nil"/>
              <w:right w:val="nil"/>
            </w:tcBorders>
            <w:vAlign w:val="center"/>
          </w:tcPr>
          <w:p>
            <w:pPr>
              <w:widowControl/>
              <w:jc w:val="left"/>
              <w:rPr>
                <w:rFonts w:ascii="仿宋" w:hAnsi="仿宋" w:eastAsia="仿宋" w:cs="宋体"/>
                <w:kern w:val="0"/>
                <w:sz w:val="22"/>
                <w:szCs w:val="22"/>
              </w:rPr>
            </w:pPr>
          </w:p>
        </w:tc>
        <w:tc>
          <w:tcPr>
            <w:tcW w:w="113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ascii="仿宋" w:hAnsi="仿宋" w:eastAsia="仿宋" w:cs="宋体"/>
                <w:kern w:val="0"/>
                <w:sz w:val="22"/>
                <w:szCs w:val="22"/>
                <w:lang w:bidi="ar"/>
              </w:rPr>
              <w:t>联系电话</w:t>
            </w:r>
          </w:p>
        </w:tc>
        <w:tc>
          <w:tcPr>
            <w:tcW w:w="918" w:type="dxa"/>
            <w:gridSpan w:val="2"/>
            <w:tcBorders>
              <w:top w:val="nil"/>
              <w:left w:val="nil"/>
              <w:bottom w:val="single" w:color="auto" w:sz="4" w:space="0"/>
              <w:right w:val="single" w:color="auto" w:sz="4" w:space="0"/>
            </w:tcBorders>
            <w:vAlign w:val="center"/>
          </w:tcPr>
          <w:p>
            <w:pPr>
              <w:widowControl/>
              <w:rPr>
                <w:rFonts w:ascii="仿宋" w:hAnsi="仿宋" w:eastAsia="仿宋" w:cs="宋体"/>
                <w:kern w:val="0"/>
                <w:sz w:val="22"/>
                <w:szCs w:val="22"/>
              </w:rPr>
            </w:pPr>
          </w:p>
        </w:tc>
        <w:tc>
          <w:tcPr>
            <w:tcW w:w="1500"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ascii="仿宋" w:hAnsi="仿宋" w:eastAsia="仿宋" w:cs="宋体"/>
                <w:kern w:val="0"/>
                <w:sz w:val="22"/>
                <w:szCs w:val="22"/>
                <w:lang w:bidi="ar"/>
              </w:rPr>
              <w:t>电子邮箱</w:t>
            </w:r>
          </w:p>
        </w:tc>
        <w:tc>
          <w:tcPr>
            <w:tcW w:w="1442" w:type="dxa"/>
            <w:tcBorders>
              <w:top w:val="single" w:color="auto" w:sz="4" w:space="0"/>
              <w:left w:val="nil"/>
              <w:bottom w:val="single" w:color="auto" w:sz="4" w:space="0"/>
              <w:right w:val="single" w:color="000000" w:sz="8" w:space="0"/>
            </w:tcBorders>
            <w:vAlign w:val="center"/>
          </w:tcPr>
          <w:p>
            <w:pPr>
              <w:widowControl/>
              <w:jc w:val="center"/>
              <w:rPr>
                <w:rFonts w:ascii="仿宋" w:hAnsi="仿宋" w:eastAsia="仿宋" w:cs="宋体"/>
                <w:kern w:val="0"/>
                <w:sz w:val="22"/>
                <w:szCs w:val="22"/>
              </w:rPr>
            </w:pPr>
          </w:p>
        </w:tc>
      </w:tr>
      <w:tr>
        <w:tblPrEx>
          <w:tblLayout w:type="fixed"/>
          <w:tblCellMar>
            <w:top w:w="0" w:type="dxa"/>
            <w:left w:w="108" w:type="dxa"/>
            <w:bottom w:w="0" w:type="dxa"/>
            <w:right w:w="108" w:type="dxa"/>
          </w:tblCellMar>
        </w:tblPrEx>
        <w:trPr>
          <w:trHeight w:val="476" w:hRule="atLeast"/>
        </w:trPr>
        <w:tc>
          <w:tcPr>
            <w:tcW w:w="1381" w:type="dxa"/>
            <w:tcBorders>
              <w:top w:val="nil"/>
              <w:left w:val="single" w:color="auto" w:sz="8" w:space="0"/>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ascii="仿宋" w:hAnsi="仿宋" w:eastAsia="仿宋" w:cs="宋体"/>
                <w:kern w:val="0"/>
                <w:sz w:val="22"/>
                <w:szCs w:val="22"/>
                <w:lang w:bidi="ar"/>
              </w:rPr>
              <w:t>主要联系人</w:t>
            </w:r>
          </w:p>
        </w:tc>
        <w:tc>
          <w:tcPr>
            <w:tcW w:w="1279" w:type="dxa"/>
            <w:gridSpan w:val="2"/>
            <w:tcBorders>
              <w:top w:val="nil"/>
              <w:left w:val="nil"/>
              <w:bottom w:val="single" w:color="auto" w:sz="4" w:space="0"/>
              <w:right w:val="single" w:color="auto" w:sz="4" w:space="0"/>
            </w:tcBorders>
            <w:vAlign w:val="center"/>
          </w:tcPr>
          <w:p>
            <w:pPr>
              <w:widowControl/>
              <w:rPr>
                <w:rFonts w:ascii="仿宋" w:hAnsi="仿宋" w:eastAsia="仿宋" w:cs="宋体"/>
                <w:kern w:val="0"/>
                <w:sz w:val="22"/>
                <w:szCs w:val="22"/>
              </w:rPr>
            </w:pPr>
          </w:p>
        </w:tc>
        <w:tc>
          <w:tcPr>
            <w:tcW w:w="667"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ascii="仿宋" w:hAnsi="仿宋" w:eastAsia="仿宋" w:cs="宋体"/>
                <w:kern w:val="0"/>
                <w:sz w:val="22"/>
                <w:szCs w:val="22"/>
                <w:lang w:bidi="ar"/>
              </w:rPr>
              <w:t>职务</w:t>
            </w:r>
          </w:p>
        </w:tc>
        <w:tc>
          <w:tcPr>
            <w:tcW w:w="1164" w:type="dxa"/>
            <w:gridSpan w:val="2"/>
            <w:tcBorders>
              <w:top w:val="single" w:color="auto" w:sz="4" w:space="0"/>
              <w:left w:val="nil"/>
              <w:bottom w:val="single" w:color="auto" w:sz="4" w:space="0"/>
              <w:right w:val="single" w:color="auto" w:sz="4" w:space="0"/>
            </w:tcBorders>
            <w:vAlign w:val="center"/>
          </w:tcPr>
          <w:p>
            <w:pPr>
              <w:widowControl/>
              <w:rPr>
                <w:rFonts w:ascii="仿宋" w:hAnsi="仿宋" w:eastAsia="仿宋" w:cs="宋体"/>
                <w:kern w:val="0"/>
                <w:sz w:val="22"/>
                <w:szCs w:val="22"/>
              </w:rPr>
            </w:pPr>
          </w:p>
        </w:tc>
        <w:tc>
          <w:tcPr>
            <w:tcW w:w="1135"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ascii="仿宋" w:hAnsi="仿宋" w:eastAsia="仿宋" w:cs="宋体"/>
                <w:kern w:val="0"/>
                <w:sz w:val="22"/>
                <w:szCs w:val="22"/>
                <w:lang w:bidi="ar"/>
              </w:rPr>
              <w:t>联系电话</w:t>
            </w:r>
          </w:p>
        </w:tc>
        <w:tc>
          <w:tcPr>
            <w:tcW w:w="918" w:type="dxa"/>
            <w:gridSpan w:val="2"/>
            <w:tcBorders>
              <w:top w:val="nil"/>
              <w:left w:val="nil"/>
              <w:bottom w:val="single" w:color="auto" w:sz="4" w:space="0"/>
              <w:right w:val="single" w:color="auto" w:sz="4" w:space="0"/>
            </w:tcBorders>
            <w:vAlign w:val="center"/>
          </w:tcPr>
          <w:p>
            <w:pPr>
              <w:widowControl/>
              <w:rPr>
                <w:rFonts w:ascii="仿宋" w:hAnsi="仿宋" w:eastAsia="仿宋" w:cs="宋体"/>
                <w:kern w:val="0"/>
                <w:sz w:val="22"/>
                <w:szCs w:val="22"/>
              </w:rPr>
            </w:pPr>
          </w:p>
        </w:tc>
        <w:tc>
          <w:tcPr>
            <w:tcW w:w="1500"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ascii="仿宋" w:hAnsi="仿宋" w:eastAsia="仿宋" w:cs="宋体"/>
                <w:kern w:val="0"/>
                <w:sz w:val="22"/>
                <w:szCs w:val="22"/>
                <w:lang w:bidi="ar"/>
              </w:rPr>
              <w:t>电子邮箱</w:t>
            </w:r>
          </w:p>
        </w:tc>
        <w:tc>
          <w:tcPr>
            <w:tcW w:w="1442" w:type="dxa"/>
            <w:tcBorders>
              <w:top w:val="single" w:color="auto" w:sz="4" w:space="0"/>
              <w:left w:val="nil"/>
              <w:bottom w:val="single" w:color="auto" w:sz="4" w:space="0"/>
              <w:right w:val="single" w:color="000000" w:sz="8" w:space="0"/>
            </w:tcBorders>
            <w:vAlign w:val="center"/>
          </w:tcPr>
          <w:p>
            <w:pPr>
              <w:widowControl/>
              <w:jc w:val="center"/>
              <w:rPr>
                <w:rFonts w:ascii="仿宋" w:hAnsi="仿宋" w:eastAsia="仿宋" w:cs="宋体"/>
                <w:kern w:val="0"/>
                <w:sz w:val="22"/>
                <w:szCs w:val="22"/>
              </w:rPr>
            </w:pPr>
          </w:p>
        </w:tc>
      </w:tr>
      <w:tr>
        <w:tblPrEx>
          <w:tblLayout w:type="fixed"/>
          <w:tblCellMar>
            <w:top w:w="0" w:type="dxa"/>
            <w:left w:w="108" w:type="dxa"/>
            <w:bottom w:w="0" w:type="dxa"/>
            <w:right w:w="108" w:type="dxa"/>
          </w:tblCellMar>
        </w:tblPrEx>
        <w:trPr>
          <w:trHeight w:val="476" w:hRule="atLeast"/>
        </w:trPr>
        <w:tc>
          <w:tcPr>
            <w:tcW w:w="1381" w:type="dxa"/>
            <w:tcBorders>
              <w:top w:val="nil"/>
              <w:left w:val="single" w:color="auto" w:sz="8" w:space="0"/>
              <w:bottom w:val="single" w:color="auto" w:sz="4" w:space="0"/>
              <w:right w:val="single" w:color="auto" w:sz="4" w:space="0"/>
            </w:tcBorders>
            <w:vAlign w:val="center"/>
          </w:tcPr>
          <w:p>
            <w:pPr>
              <w:jc w:val="center"/>
              <w:rPr>
                <w:rFonts w:ascii="仿宋" w:hAnsi="仿宋" w:eastAsia="仿宋" w:cs="宋体"/>
                <w:kern w:val="0"/>
                <w:sz w:val="22"/>
                <w:szCs w:val="22"/>
              </w:rPr>
            </w:pPr>
            <w:r>
              <w:rPr>
                <w:rFonts w:ascii="仿宋" w:hAnsi="仿宋" w:eastAsia="仿宋" w:cs="宋体"/>
                <w:kern w:val="0"/>
                <w:sz w:val="22"/>
                <w:szCs w:val="22"/>
                <w:lang w:bidi="ar"/>
              </w:rPr>
              <w:t>知识产权</w:t>
            </w:r>
          </w:p>
          <w:p>
            <w:pPr>
              <w:widowControl/>
              <w:jc w:val="center"/>
              <w:rPr>
                <w:rFonts w:ascii="仿宋" w:hAnsi="仿宋" w:eastAsia="仿宋" w:cs="宋体"/>
                <w:kern w:val="0"/>
                <w:sz w:val="22"/>
                <w:szCs w:val="22"/>
              </w:rPr>
            </w:pPr>
            <w:r>
              <w:rPr>
                <w:rFonts w:ascii="仿宋" w:hAnsi="仿宋" w:eastAsia="仿宋" w:cs="宋体"/>
                <w:kern w:val="0"/>
                <w:sz w:val="22"/>
                <w:szCs w:val="22"/>
                <w:lang w:bidi="ar"/>
              </w:rPr>
              <w:t>类型</w:t>
            </w:r>
          </w:p>
        </w:tc>
        <w:tc>
          <w:tcPr>
            <w:tcW w:w="4245" w:type="dxa"/>
            <w:gridSpan w:val="7"/>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2"/>
                <w:szCs w:val="22"/>
              </w:rPr>
            </w:pPr>
            <w:r>
              <w:rPr>
                <w:rFonts w:ascii="仿宋" w:hAnsi="仿宋" w:eastAsia="仿宋" w:cs="宋体"/>
                <w:kern w:val="0"/>
                <w:sz w:val="22"/>
                <w:szCs w:val="22"/>
                <w:lang w:bidi="ar"/>
              </w:rPr>
              <w:t xml:space="preserve">□商标     □专利     □软件著作权     □版权     □其他  </w:t>
            </w:r>
          </w:p>
        </w:tc>
        <w:tc>
          <w:tcPr>
            <w:tcW w:w="2418" w:type="dxa"/>
            <w:gridSpan w:val="4"/>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ascii="仿宋" w:hAnsi="仿宋" w:eastAsia="仿宋" w:cs="宋体"/>
                <w:kern w:val="0"/>
                <w:sz w:val="22"/>
                <w:szCs w:val="22"/>
                <w:lang w:bidi="ar"/>
              </w:rPr>
              <w:t>是否高新技术企业</w:t>
            </w:r>
          </w:p>
        </w:tc>
        <w:tc>
          <w:tcPr>
            <w:tcW w:w="1442" w:type="dxa"/>
            <w:tcBorders>
              <w:top w:val="single" w:color="auto" w:sz="4" w:space="0"/>
              <w:left w:val="nil"/>
              <w:bottom w:val="single" w:color="auto" w:sz="4" w:space="0"/>
              <w:right w:val="single" w:color="000000" w:sz="8" w:space="0"/>
            </w:tcBorders>
            <w:vAlign w:val="center"/>
          </w:tcPr>
          <w:p>
            <w:pPr>
              <w:widowControl/>
              <w:jc w:val="center"/>
              <w:rPr>
                <w:rFonts w:ascii="仿宋" w:hAnsi="仿宋" w:eastAsia="仿宋" w:cs="宋体"/>
                <w:kern w:val="0"/>
                <w:sz w:val="22"/>
                <w:szCs w:val="22"/>
              </w:rPr>
            </w:pPr>
            <w:r>
              <w:rPr>
                <w:rFonts w:ascii="仿宋" w:hAnsi="仿宋" w:eastAsia="仿宋" w:cs="宋体"/>
                <w:kern w:val="0"/>
                <w:sz w:val="22"/>
                <w:szCs w:val="22"/>
                <w:lang w:bidi="ar"/>
              </w:rPr>
              <w:t>□是 □否</w:t>
            </w:r>
          </w:p>
        </w:tc>
      </w:tr>
      <w:tr>
        <w:tblPrEx>
          <w:tblLayout w:type="fixed"/>
          <w:tblCellMar>
            <w:top w:w="0" w:type="dxa"/>
            <w:left w:w="108" w:type="dxa"/>
            <w:bottom w:w="0" w:type="dxa"/>
            <w:right w:w="108" w:type="dxa"/>
          </w:tblCellMar>
        </w:tblPrEx>
        <w:trPr>
          <w:trHeight w:val="410" w:hRule="atLeast"/>
        </w:trPr>
        <w:tc>
          <w:tcPr>
            <w:tcW w:w="1381" w:type="dxa"/>
            <w:tcBorders>
              <w:top w:val="nil"/>
              <w:left w:val="single" w:color="auto" w:sz="8" w:space="0"/>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ascii="仿宋" w:hAnsi="仿宋" w:eastAsia="仿宋" w:cs="宋体"/>
                <w:kern w:val="0"/>
                <w:sz w:val="22"/>
                <w:szCs w:val="22"/>
                <w:lang w:bidi="ar"/>
              </w:rPr>
              <w:t>主营业务</w:t>
            </w:r>
          </w:p>
        </w:tc>
        <w:tc>
          <w:tcPr>
            <w:tcW w:w="8105" w:type="dxa"/>
            <w:gridSpan w:val="12"/>
            <w:tcBorders>
              <w:top w:val="single" w:color="auto" w:sz="4" w:space="0"/>
              <w:left w:val="nil"/>
              <w:bottom w:val="single" w:color="auto" w:sz="4" w:space="0"/>
              <w:right w:val="single" w:color="000000" w:sz="8" w:space="0"/>
            </w:tcBorders>
            <w:vAlign w:val="center"/>
          </w:tcPr>
          <w:p>
            <w:pPr>
              <w:widowControl/>
              <w:rPr>
                <w:rFonts w:ascii="仿宋" w:hAnsi="仿宋" w:eastAsia="仿宋" w:cs="宋体"/>
                <w:kern w:val="0"/>
                <w:sz w:val="22"/>
                <w:szCs w:val="22"/>
              </w:rPr>
            </w:pPr>
          </w:p>
          <w:p>
            <w:pPr>
              <w:widowControl/>
              <w:rPr>
                <w:rFonts w:ascii="仿宋" w:hAnsi="仿宋" w:eastAsia="仿宋" w:cs="宋体"/>
                <w:kern w:val="0"/>
                <w:sz w:val="22"/>
                <w:szCs w:val="22"/>
              </w:rPr>
            </w:pPr>
          </w:p>
        </w:tc>
      </w:tr>
      <w:tr>
        <w:tblPrEx>
          <w:tblLayout w:type="fixed"/>
          <w:tblCellMar>
            <w:top w:w="0" w:type="dxa"/>
            <w:left w:w="108" w:type="dxa"/>
            <w:bottom w:w="0" w:type="dxa"/>
            <w:right w:w="108" w:type="dxa"/>
          </w:tblCellMar>
        </w:tblPrEx>
        <w:trPr>
          <w:trHeight w:val="351" w:hRule="atLeast"/>
        </w:trPr>
        <w:tc>
          <w:tcPr>
            <w:tcW w:w="9486" w:type="dxa"/>
            <w:gridSpan w:val="13"/>
            <w:vMerge w:val="restart"/>
            <w:tcBorders>
              <w:top w:val="single" w:color="auto" w:sz="4" w:space="0"/>
              <w:left w:val="single" w:color="auto" w:sz="8" w:space="0"/>
              <w:bottom w:val="single" w:color="000000" w:sz="8" w:space="0"/>
              <w:right w:val="single" w:color="000000" w:sz="8" w:space="0"/>
            </w:tcBorders>
          </w:tcPr>
          <w:p>
            <w:pPr>
              <w:jc w:val="left"/>
              <w:rPr>
                <w:rFonts w:ascii="仿宋" w:hAnsi="仿宋" w:eastAsia="仿宋" w:cs="宋体"/>
                <w:kern w:val="0"/>
                <w:sz w:val="20"/>
                <w:szCs w:val="20"/>
              </w:rPr>
            </w:pPr>
            <w:r>
              <w:rPr>
                <w:rFonts w:ascii="仿宋" w:hAnsi="仿宋" w:eastAsia="仿宋" w:cs="仿宋"/>
                <w:kern w:val="0"/>
                <w:sz w:val="28"/>
                <w:szCs w:val="28"/>
                <w:lang w:bidi="ar"/>
              </w:rPr>
              <w:t>项目简介：</w:t>
            </w:r>
          </w:p>
          <w:p>
            <w:pPr>
              <w:jc w:val="left"/>
              <w:rPr>
                <w:rFonts w:ascii="仿宋" w:hAnsi="仿宋" w:eastAsia="仿宋" w:cs="宋体"/>
                <w:kern w:val="0"/>
                <w:sz w:val="20"/>
                <w:szCs w:val="20"/>
              </w:rPr>
            </w:pPr>
          </w:p>
          <w:p>
            <w:pPr>
              <w:jc w:val="left"/>
              <w:rPr>
                <w:rFonts w:ascii="仿宋" w:hAnsi="仿宋" w:eastAsia="仿宋" w:cs="宋体"/>
                <w:kern w:val="0"/>
                <w:sz w:val="20"/>
                <w:szCs w:val="20"/>
              </w:rPr>
            </w:pPr>
          </w:p>
        </w:tc>
      </w:tr>
      <w:tr>
        <w:tblPrEx>
          <w:tblLayout w:type="fixed"/>
          <w:tblCellMar>
            <w:top w:w="0" w:type="dxa"/>
            <w:left w:w="108" w:type="dxa"/>
            <w:bottom w:w="0" w:type="dxa"/>
            <w:right w:w="108" w:type="dxa"/>
          </w:tblCellMar>
        </w:tblPrEx>
        <w:trPr>
          <w:trHeight w:val="351" w:hRule="atLeast"/>
        </w:trPr>
        <w:tc>
          <w:tcPr>
            <w:tcW w:w="9486" w:type="dxa"/>
            <w:gridSpan w:val="13"/>
            <w:vMerge w:val="continue"/>
            <w:tcBorders>
              <w:top w:val="single" w:color="auto" w:sz="4" w:space="0"/>
              <w:left w:val="single" w:color="auto" w:sz="8" w:space="0"/>
              <w:bottom w:val="single" w:color="000000" w:sz="8" w:space="0"/>
              <w:right w:val="single" w:color="000000" w:sz="8" w:space="0"/>
            </w:tcBorders>
          </w:tcPr>
          <w:p>
            <w:pPr>
              <w:rPr>
                <w:rFonts w:ascii="Times New Roman" w:hAnsi="Times New Roman"/>
                <w:sz w:val="20"/>
                <w:szCs w:val="20"/>
              </w:rPr>
            </w:pPr>
          </w:p>
        </w:tc>
      </w:tr>
      <w:tr>
        <w:tblPrEx>
          <w:tblLayout w:type="fixed"/>
          <w:tblCellMar>
            <w:top w:w="0" w:type="dxa"/>
            <w:left w:w="108" w:type="dxa"/>
            <w:bottom w:w="0" w:type="dxa"/>
            <w:right w:w="108" w:type="dxa"/>
          </w:tblCellMar>
        </w:tblPrEx>
        <w:trPr>
          <w:trHeight w:val="312" w:hRule="atLeast"/>
        </w:trPr>
        <w:tc>
          <w:tcPr>
            <w:tcW w:w="9486" w:type="dxa"/>
            <w:gridSpan w:val="13"/>
            <w:vMerge w:val="continue"/>
            <w:tcBorders>
              <w:top w:val="single" w:color="auto" w:sz="4" w:space="0"/>
              <w:left w:val="single" w:color="auto" w:sz="8" w:space="0"/>
              <w:bottom w:val="single" w:color="000000" w:sz="8" w:space="0"/>
              <w:right w:val="single" w:color="000000" w:sz="8" w:space="0"/>
            </w:tcBorders>
          </w:tcPr>
          <w:p>
            <w:pPr>
              <w:rPr>
                <w:rFonts w:ascii="Times New Roman" w:hAnsi="Times New Roman"/>
                <w:sz w:val="20"/>
                <w:szCs w:val="20"/>
              </w:rPr>
            </w:pPr>
          </w:p>
        </w:tc>
      </w:tr>
      <w:tr>
        <w:tblPrEx>
          <w:tblLayout w:type="fixed"/>
          <w:tblCellMar>
            <w:top w:w="0" w:type="dxa"/>
            <w:left w:w="108" w:type="dxa"/>
            <w:bottom w:w="0" w:type="dxa"/>
            <w:right w:w="108" w:type="dxa"/>
          </w:tblCellMar>
        </w:tblPrEx>
        <w:trPr>
          <w:trHeight w:val="624" w:hRule="atLeast"/>
        </w:trPr>
        <w:tc>
          <w:tcPr>
            <w:tcW w:w="9486" w:type="dxa"/>
            <w:gridSpan w:val="13"/>
            <w:vMerge w:val="restart"/>
            <w:tcBorders>
              <w:top w:val="nil"/>
              <w:left w:val="single" w:color="auto" w:sz="8" w:space="0"/>
              <w:bottom w:val="single" w:color="000000" w:sz="8" w:space="0"/>
              <w:right w:val="single" w:color="000000" w:sz="8" w:space="0"/>
            </w:tcBorders>
          </w:tcPr>
          <w:p>
            <w:pPr>
              <w:jc w:val="left"/>
              <w:rPr>
                <w:rFonts w:ascii="仿宋" w:hAnsi="仿宋" w:eastAsia="仿宋" w:cs="仿宋"/>
                <w:kern w:val="0"/>
                <w:sz w:val="28"/>
                <w:szCs w:val="28"/>
              </w:rPr>
            </w:pPr>
            <w:r>
              <w:rPr>
                <w:rFonts w:ascii="仿宋" w:hAnsi="仿宋" w:eastAsia="仿宋" w:cs="仿宋"/>
                <w:kern w:val="0"/>
                <w:sz w:val="28"/>
                <w:szCs w:val="28"/>
                <w:lang w:bidi="ar"/>
              </w:rPr>
              <w:t>商业模式：</w:t>
            </w:r>
          </w:p>
          <w:p>
            <w:pPr>
              <w:jc w:val="left"/>
              <w:rPr>
                <w:rFonts w:ascii="仿宋" w:hAnsi="仿宋" w:eastAsia="仿宋" w:cs="仿宋"/>
                <w:kern w:val="0"/>
                <w:sz w:val="28"/>
                <w:szCs w:val="28"/>
              </w:rPr>
            </w:pPr>
          </w:p>
          <w:p>
            <w:pPr>
              <w:jc w:val="left"/>
              <w:rPr>
                <w:rFonts w:ascii="仿宋" w:hAnsi="仿宋" w:eastAsia="仿宋" w:cs="仿宋"/>
                <w:kern w:val="0"/>
                <w:sz w:val="28"/>
                <w:szCs w:val="28"/>
              </w:rPr>
            </w:pPr>
          </w:p>
        </w:tc>
      </w:tr>
      <w:tr>
        <w:tblPrEx>
          <w:tblLayout w:type="fixed"/>
          <w:tblCellMar>
            <w:top w:w="0" w:type="dxa"/>
            <w:left w:w="108" w:type="dxa"/>
            <w:bottom w:w="0" w:type="dxa"/>
            <w:right w:w="108" w:type="dxa"/>
          </w:tblCellMar>
        </w:tblPrEx>
        <w:trPr>
          <w:trHeight w:val="624" w:hRule="atLeast"/>
        </w:trPr>
        <w:tc>
          <w:tcPr>
            <w:tcW w:w="9486" w:type="dxa"/>
            <w:gridSpan w:val="13"/>
            <w:vMerge w:val="continue"/>
            <w:tcBorders>
              <w:top w:val="nil"/>
              <w:left w:val="single" w:color="auto" w:sz="8" w:space="0"/>
              <w:bottom w:val="single" w:color="000000" w:sz="8" w:space="0"/>
              <w:right w:val="single" w:color="000000" w:sz="8" w:space="0"/>
            </w:tcBorders>
          </w:tcPr>
          <w:p>
            <w:pPr>
              <w:rPr>
                <w:rFonts w:ascii="Times New Roman" w:hAnsi="Times New Roman"/>
                <w:sz w:val="20"/>
                <w:szCs w:val="20"/>
              </w:rPr>
            </w:pPr>
          </w:p>
        </w:tc>
      </w:tr>
      <w:tr>
        <w:tblPrEx>
          <w:tblLayout w:type="fixed"/>
          <w:tblCellMar>
            <w:top w:w="0" w:type="dxa"/>
            <w:left w:w="108" w:type="dxa"/>
            <w:bottom w:w="0" w:type="dxa"/>
            <w:right w:w="108" w:type="dxa"/>
          </w:tblCellMar>
        </w:tblPrEx>
        <w:trPr>
          <w:trHeight w:val="351" w:hRule="atLeast"/>
        </w:trPr>
        <w:tc>
          <w:tcPr>
            <w:tcW w:w="9486" w:type="dxa"/>
            <w:gridSpan w:val="13"/>
            <w:vMerge w:val="continue"/>
            <w:tcBorders>
              <w:top w:val="nil"/>
              <w:left w:val="single" w:color="auto" w:sz="8" w:space="0"/>
              <w:bottom w:val="single" w:color="000000" w:sz="8" w:space="0"/>
              <w:right w:val="single" w:color="000000" w:sz="8" w:space="0"/>
            </w:tcBorders>
          </w:tcPr>
          <w:p>
            <w:pPr>
              <w:rPr>
                <w:rFonts w:ascii="Times New Roman" w:hAnsi="Times New Roman"/>
                <w:sz w:val="20"/>
                <w:szCs w:val="20"/>
              </w:rPr>
            </w:pPr>
          </w:p>
        </w:tc>
      </w:tr>
      <w:tr>
        <w:tblPrEx>
          <w:tblLayout w:type="fixed"/>
          <w:tblCellMar>
            <w:top w:w="0" w:type="dxa"/>
            <w:left w:w="108" w:type="dxa"/>
            <w:bottom w:w="0" w:type="dxa"/>
            <w:right w:w="108" w:type="dxa"/>
          </w:tblCellMar>
        </w:tblPrEx>
        <w:trPr>
          <w:trHeight w:val="2516" w:hRule="atLeast"/>
        </w:trPr>
        <w:tc>
          <w:tcPr>
            <w:tcW w:w="9486" w:type="dxa"/>
            <w:gridSpan w:val="13"/>
            <w:tcBorders>
              <w:top w:val="single" w:color="auto" w:sz="4" w:space="0"/>
              <w:left w:val="single" w:color="auto" w:sz="8" w:space="0"/>
              <w:bottom w:val="single" w:color="auto" w:sz="4" w:space="0"/>
              <w:right w:val="single" w:color="000000" w:sz="8" w:space="0"/>
            </w:tcBorders>
          </w:tcPr>
          <w:p>
            <w:pPr>
              <w:rPr>
                <w:rFonts w:ascii="仿宋" w:hAnsi="仿宋" w:eastAsia="仿宋" w:cs="仿宋"/>
                <w:kern w:val="0"/>
                <w:sz w:val="28"/>
                <w:szCs w:val="28"/>
              </w:rPr>
            </w:pPr>
            <w:r>
              <w:rPr>
                <w:rFonts w:ascii="仿宋" w:hAnsi="仿宋" w:eastAsia="仿宋" w:cs="仿宋"/>
                <w:kern w:val="0"/>
                <w:sz w:val="28"/>
                <w:szCs w:val="28"/>
                <w:lang w:bidi="ar"/>
              </w:rPr>
              <w:t>核心竞争力：</w:t>
            </w:r>
          </w:p>
          <w:p>
            <w:pPr>
              <w:rPr>
                <w:rFonts w:ascii="仿宋" w:hAnsi="仿宋" w:eastAsia="仿宋" w:cs="仿宋"/>
                <w:kern w:val="0"/>
                <w:sz w:val="20"/>
                <w:szCs w:val="20"/>
              </w:rPr>
            </w:pPr>
          </w:p>
          <w:p>
            <w:pPr>
              <w:rPr>
                <w:rFonts w:ascii="仿宋" w:hAnsi="仿宋" w:eastAsia="仿宋" w:cs="仿宋"/>
                <w:kern w:val="0"/>
                <w:sz w:val="20"/>
                <w:szCs w:val="20"/>
              </w:rPr>
            </w:pPr>
          </w:p>
          <w:p>
            <w:pPr>
              <w:rPr>
                <w:rFonts w:ascii="仿宋" w:hAnsi="仿宋" w:eastAsia="仿宋" w:cs="仿宋"/>
                <w:kern w:val="0"/>
                <w:sz w:val="20"/>
                <w:szCs w:val="20"/>
              </w:rPr>
            </w:pPr>
          </w:p>
          <w:p>
            <w:pPr>
              <w:rPr>
                <w:rFonts w:ascii="仿宋" w:hAnsi="仿宋" w:eastAsia="仿宋" w:cs="仿宋"/>
                <w:kern w:val="0"/>
                <w:sz w:val="20"/>
                <w:szCs w:val="20"/>
              </w:rPr>
            </w:pPr>
          </w:p>
          <w:p>
            <w:pPr>
              <w:rPr>
                <w:rFonts w:ascii="仿宋" w:hAnsi="仿宋" w:eastAsia="仿宋" w:cs="仿宋"/>
                <w:kern w:val="0"/>
                <w:sz w:val="20"/>
                <w:szCs w:val="20"/>
              </w:rPr>
            </w:pPr>
          </w:p>
          <w:p>
            <w:pPr>
              <w:rPr>
                <w:rFonts w:ascii="仿宋" w:hAnsi="仿宋" w:eastAsia="仿宋" w:cs="仿宋"/>
                <w:kern w:val="0"/>
                <w:sz w:val="20"/>
                <w:szCs w:val="20"/>
              </w:rPr>
            </w:pPr>
          </w:p>
        </w:tc>
      </w:tr>
      <w:tr>
        <w:tblPrEx>
          <w:tblLayout w:type="fixed"/>
          <w:tblCellMar>
            <w:top w:w="0" w:type="dxa"/>
            <w:left w:w="108" w:type="dxa"/>
            <w:bottom w:w="0" w:type="dxa"/>
            <w:right w:w="108" w:type="dxa"/>
          </w:tblCellMar>
        </w:tblPrEx>
        <w:trPr>
          <w:trHeight w:val="2137" w:hRule="atLeast"/>
        </w:trPr>
        <w:tc>
          <w:tcPr>
            <w:tcW w:w="9486" w:type="dxa"/>
            <w:gridSpan w:val="13"/>
            <w:tcBorders>
              <w:top w:val="single" w:color="auto" w:sz="4" w:space="0"/>
              <w:left w:val="single" w:color="auto" w:sz="8" w:space="0"/>
              <w:bottom w:val="single" w:color="auto" w:sz="4" w:space="0"/>
              <w:right w:val="single" w:color="000000" w:sz="8" w:space="0"/>
            </w:tcBorders>
          </w:tcPr>
          <w:p>
            <w:pPr>
              <w:jc w:val="left"/>
              <w:rPr>
                <w:rFonts w:ascii="仿宋" w:hAnsi="仿宋" w:eastAsia="仿宋" w:cs="仿宋"/>
                <w:kern w:val="0"/>
                <w:sz w:val="28"/>
                <w:szCs w:val="28"/>
              </w:rPr>
            </w:pPr>
            <w:r>
              <w:rPr>
                <w:rFonts w:ascii="仿宋" w:hAnsi="仿宋" w:eastAsia="仿宋" w:cs="仿宋"/>
                <w:kern w:val="0"/>
                <w:sz w:val="28"/>
                <w:szCs w:val="28"/>
                <w:lang w:bidi="ar"/>
              </w:rPr>
              <w:t>未来规划：</w:t>
            </w:r>
          </w:p>
          <w:p>
            <w:pPr>
              <w:jc w:val="left"/>
              <w:rPr>
                <w:rFonts w:ascii="仿宋" w:hAnsi="仿宋" w:eastAsia="仿宋" w:cs="仿宋"/>
                <w:kern w:val="0"/>
                <w:sz w:val="28"/>
                <w:szCs w:val="28"/>
              </w:rPr>
            </w:pPr>
          </w:p>
          <w:p>
            <w:pPr>
              <w:jc w:val="left"/>
              <w:rPr>
                <w:rFonts w:ascii="仿宋" w:hAnsi="仿宋" w:eastAsia="仿宋" w:cs="仿宋"/>
                <w:kern w:val="0"/>
                <w:sz w:val="28"/>
                <w:szCs w:val="28"/>
              </w:rPr>
            </w:pPr>
          </w:p>
          <w:p>
            <w:pPr>
              <w:jc w:val="left"/>
              <w:rPr>
                <w:rFonts w:ascii="仿宋" w:hAnsi="仿宋" w:eastAsia="仿宋" w:cs="仿宋"/>
                <w:kern w:val="0"/>
                <w:sz w:val="28"/>
                <w:szCs w:val="28"/>
              </w:rPr>
            </w:pPr>
          </w:p>
        </w:tc>
      </w:tr>
      <w:tr>
        <w:tblPrEx>
          <w:tblLayout w:type="fixed"/>
          <w:tblCellMar>
            <w:top w:w="0" w:type="dxa"/>
            <w:left w:w="108" w:type="dxa"/>
            <w:bottom w:w="0" w:type="dxa"/>
            <w:right w:w="108" w:type="dxa"/>
          </w:tblCellMar>
        </w:tblPrEx>
        <w:trPr>
          <w:trHeight w:val="2630" w:hRule="atLeast"/>
        </w:trPr>
        <w:tc>
          <w:tcPr>
            <w:tcW w:w="9486" w:type="dxa"/>
            <w:gridSpan w:val="13"/>
            <w:tcBorders>
              <w:top w:val="single" w:color="auto" w:sz="4" w:space="0"/>
              <w:left w:val="single" w:color="auto" w:sz="8" w:space="0"/>
              <w:bottom w:val="single" w:color="auto" w:sz="4" w:space="0"/>
              <w:right w:val="single" w:color="000000" w:sz="8" w:space="0"/>
            </w:tcBorders>
          </w:tcPr>
          <w:p>
            <w:pPr>
              <w:jc w:val="left"/>
              <w:rPr>
                <w:rFonts w:ascii="仿宋" w:hAnsi="仿宋" w:eastAsia="仿宋" w:cs="仿宋"/>
                <w:kern w:val="0"/>
                <w:sz w:val="28"/>
                <w:szCs w:val="28"/>
              </w:rPr>
            </w:pPr>
            <w:r>
              <w:rPr>
                <w:rFonts w:ascii="仿宋" w:hAnsi="仿宋" w:eastAsia="仿宋" w:cs="仿宋"/>
                <w:kern w:val="0"/>
                <w:sz w:val="28"/>
                <w:szCs w:val="28"/>
                <w:lang w:bidi="ar"/>
              </w:rPr>
              <w:t>获得荣誉：</w:t>
            </w:r>
          </w:p>
          <w:p>
            <w:pPr>
              <w:jc w:val="left"/>
              <w:rPr>
                <w:rFonts w:ascii="仿宋" w:hAnsi="仿宋" w:eastAsia="仿宋" w:cs="仿宋"/>
                <w:kern w:val="0"/>
                <w:sz w:val="28"/>
                <w:szCs w:val="28"/>
              </w:rPr>
            </w:pPr>
          </w:p>
          <w:p>
            <w:pPr>
              <w:jc w:val="left"/>
              <w:rPr>
                <w:rFonts w:ascii="仿宋" w:hAnsi="仿宋" w:eastAsia="仿宋" w:cs="仿宋"/>
                <w:kern w:val="0"/>
                <w:sz w:val="28"/>
                <w:szCs w:val="28"/>
              </w:rPr>
            </w:pPr>
          </w:p>
        </w:tc>
      </w:tr>
      <w:tr>
        <w:tblPrEx>
          <w:tblLayout w:type="fixed"/>
          <w:tblCellMar>
            <w:top w:w="0" w:type="dxa"/>
            <w:left w:w="108" w:type="dxa"/>
            <w:bottom w:w="0" w:type="dxa"/>
            <w:right w:w="108" w:type="dxa"/>
          </w:tblCellMar>
        </w:tblPrEx>
        <w:trPr>
          <w:trHeight w:val="90" w:hRule="atLeast"/>
        </w:trPr>
        <w:tc>
          <w:tcPr>
            <w:tcW w:w="9486" w:type="dxa"/>
            <w:gridSpan w:val="13"/>
            <w:tcBorders>
              <w:top w:val="single" w:color="auto" w:sz="4" w:space="0"/>
              <w:left w:val="single" w:color="auto" w:sz="8" w:space="0"/>
              <w:bottom w:val="single" w:color="auto" w:sz="4" w:space="0"/>
              <w:right w:val="single" w:color="000000" w:sz="8" w:space="0"/>
            </w:tcBorders>
          </w:tcPr>
          <w:p>
            <w:pPr>
              <w:jc w:val="left"/>
              <w:rPr>
                <w:rFonts w:ascii="仿宋" w:hAnsi="仿宋" w:eastAsia="仿宋" w:cs="仿宋"/>
                <w:kern w:val="0"/>
                <w:sz w:val="28"/>
                <w:szCs w:val="28"/>
              </w:rPr>
            </w:pPr>
            <w:r>
              <w:rPr>
                <w:rFonts w:ascii="仿宋" w:hAnsi="仿宋" w:eastAsia="仿宋" w:cs="仿宋"/>
                <w:kern w:val="0"/>
                <w:sz w:val="28"/>
                <w:szCs w:val="28"/>
                <w:lang w:bidi="ar"/>
              </w:rPr>
              <w:t>经营情况：</w:t>
            </w:r>
          </w:p>
          <w:p>
            <w:pPr>
              <w:jc w:val="left"/>
              <w:rPr>
                <w:rFonts w:ascii="仿宋" w:hAnsi="仿宋" w:eastAsia="仿宋" w:cs="仿宋"/>
                <w:kern w:val="0"/>
                <w:sz w:val="28"/>
                <w:szCs w:val="28"/>
              </w:rPr>
            </w:pPr>
          </w:p>
          <w:p>
            <w:pPr>
              <w:jc w:val="left"/>
              <w:rPr>
                <w:rFonts w:ascii="仿宋" w:hAnsi="仿宋" w:eastAsia="仿宋" w:cs="仿宋"/>
                <w:kern w:val="0"/>
                <w:sz w:val="28"/>
                <w:szCs w:val="28"/>
              </w:rPr>
            </w:pPr>
          </w:p>
          <w:p>
            <w:pPr>
              <w:jc w:val="left"/>
              <w:rPr>
                <w:rFonts w:ascii="仿宋" w:hAnsi="仿宋" w:eastAsia="仿宋" w:cs="仿宋"/>
                <w:kern w:val="0"/>
                <w:sz w:val="28"/>
                <w:szCs w:val="28"/>
              </w:rPr>
            </w:pPr>
          </w:p>
        </w:tc>
      </w:tr>
      <w:tr>
        <w:tblPrEx>
          <w:tblLayout w:type="fixed"/>
          <w:tblCellMar>
            <w:top w:w="0" w:type="dxa"/>
            <w:left w:w="108" w:type="dxa"/>
            <w:bottom w:w="0" w:type="dxa"/>
            <w:right w:w="108" w:type="dxa"/>
          </w:tblCellMar>
        </w:tblPrEx>
        <w:trPr>
          <w:trHeight w:val="524" w:hRule="atLeast"/>
        </w:trPr>
        <w:tc>
          <w:tcPr>
            <w:tcW w:w="9486" w:type="dxa"/>
            <w:gridSpan w:val="13"/>
            <w:tcBorders>
              <w:top w:val="single" w:color="auto" w:sz="4" w:space="0"/>
              <w:left w:val="single" w:color="auto" w:sz="4" w:space="0"/>
              <w:bottom w:val="single" w:color="auto" w:sz="4" w:space="0"/>
              <w:right w:val="single" w:color="auto" w:sz="4" w:space="0"/>
            </w:tcBorders>
            <w:vAlign w:val="center"/>
          </w:tcPr>
          <w:p>
            <w:pPr>
              <w:pStyle w:val="14"/>
              <w:widowControl/>
              <w:ind w:firstLine="0" w:firstLineChars="0"/>
              <w:jc w:val="center"/>
              <w:rPr>
                <w:rFonts w:ascii="仿宋" w:hAnsi="仿宋" w:eastAsia="仿宋" w:cs="宋体"/>
                <w:kern w:val="0"/>
                <w:sz w:val="24"/>
                <w:szCs w:val="24"/>
              </w:rPr>
            </w:pPr>
            <w:r>
              <w:rPr>
                <w:rFonts w:hint="eastAsia" w:ascii="黑体" w:eastAsia="黑体" w:cs="黑体"/>
                <w:kern w:val="0"/>
                <w:sz w:val="28"/>
                <w:szCs w:val="28"/>
              </w:rPr>
              <w:t>团队基本信息</w:t>
            </w:r>
          </w:p>
        </w:tc>
      </w:tr>
      <w:tr>
        <w:tblPrEx>
          <w:tblLayout w:type="fixed"/>
          <w:tblCellMar>
            <w:top w:w="0" w:type="dxa"/>
            <w:left w:w="108" w:type="dxa"/>
            <w:bottom w:w="0" w:type="dxa"/>
            <w:right w:w="108" w:type="dxa"/>
          </w:tblCellMar>
        </w:tblPrEx>
        <w:trPr>
          <w:trHeight w:val="608" w:hRule="atLeast"/>
        </w:trPr>
        <w:tc>
          <w:tcPr>
            <w:tcW w:w="139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楷体" w:hAnsi="楷体" w:eastAsia="楷体" w:cs="楷体"/>
                <w:kern w:val="0"/>
                <w:sz w:val="24"/>
              </w:rPr>
            </w:pPr>
            <w:r>
              <w:rPr>
                <w:rFonts w:ascii="楷体" w:hAnsi="楷体" w:eastAsia="楷体" w:cs="楷体"/>
                <w:kern w:val="0"/>
                <w:sz w:val="24"/>
                <w:lang w:bidi="ar"/>
              </w:rPr>
              <w:t>学    校</w:t>
            </w:r>
          </w:p>
        </w:tc>
        <w:tc>
          <w:tcPr>
            <w:tcW w:w="4870" w:type="dxa"/>
            <w:gridSpan w:val="7"/>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楷体"/>
                <w:kern w:val="0"/>
                <w:sz w:val="24"/>
              </w:rPr>
            </w:pPr>
          </w:p>
        </w:tc>
        <w:tc>
          <w:tcPr>
            <w:tcW w:w="1451" w:type="dxa"/>
            <w:gridSpan w:val="2"/>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楷体"/>
                <w:kern w:val="0"/>
                <w:sz w:val="24"/>
              </w:rPr>
            </w:pPr>
            <w:r>
              <w:rPr>
                <w:rFonts w:ascii="楷体" w:hAnsi="楷体" w:eastAsia="楷体" w:cs="楷体"/>
                <w:kern w:val="0"/>
                <w:sz w:val="24"/>
                <w:lang w:bidi="ar"/>
              </w:rPr>
              <w:t>团队人数</w:t>
            </w:r>
          </w:p>
        </w:tc>
        <w:tc>
          <w:tcPr>
            <w:tcW w:w="1767" w:type="dxa"/>
            <w:gridSpan w:val="2"/>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楷体"/>
                <w:kern w:val="0"/>
                <w:sz w:val="24"/>
              </w:rPr>
            </w:pPr>
          </w:p>
        </w:tc>
      </w:tr>
      <w:tr>
        <w:tblPrEx>
          <w:tblLayout w:type="fixed"/>
          <w:tblCellMar>
            <w:top w:w="0" w:type="dxa"/>
            <w:left w:w="108" w:type="dxa"/>
            <w:bottom w:w="0" w:type="dxa"/>
            <w:right w:w="108" w:type="dxa"/>
          </w:tblCellMar>
        </w:tblPrEx>
        <w:trPr>
          <w:trHeight w:val="749" w:hRule="atLeast"/>
        </w:trPr>
        <w:tc>
          <w:tcPr>
            <w:tcW w:w="1398"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楷体" w:hAnsi="楷体" w:eastAsia="楷体" w:cs="楷体"/>
                <w:kern w:val="0"/>
                <w:sz w:val="24"/>
              </w:rPr>
            </w:pPr>
            <w:r>
              <w:rPr>
                <w:rFonts w:ascii="楷体" w:hAnsi="楷体" w:eastAsia="楷体" w:cs="楷体"/>
                <w:kern w:val="0"/>
                <w:sz w:val="24"/>
                <w:lang w:bidi="ar"/>
              </w:rPr>
              <w:t>项目</w:t>
            </w:r>
          </w:p>
          <w:p>
            <w:pPr>
              <w:widowControl/>
              <w:jc w:val="center"/>
              <w:rPr>
                <w:rFonts w:ascii="楷体" w:hAnsi="楷体" w:eastAsia="楷体" w:cs="楷体"/>
                <w:kern w:val="0"/>
                <w:sz w:val="24"/>
              </w:rPr>
            </w:pPr>
            <w:r>
              <w:rPr>
                <w:rFonts w:ascii="楷体" w:hAnsi="楷体" w:eastAsia="楷体" w:cs="楷体"/>
                <w:kern w:val="0"/>
                <w:sz w:val="24"/>
                <w:lang w:bidi="ar"/>
              </w:rPr>
              <w:t>负责人</w:t>
            </w:r>
          </w:p>
        </w:tc>
        <w:tc>
          <w:tcPr>
            <w:tcW w:w="1480" w:type="dxa"/>
            <w:gridSpan w:val="2"/>
            <w:tcBorders>
              <w:top w:val="single" w:color="auto" w:sz="4" w:space="0"/>
              <w:left w:val="nil"/>
              <w:bottom w:val="single" w:color="auto" w:sz="4" w:space="0"/>
              <w:right w:val="single" w:color="auto" w:sz="4" w:space="0"/>
            </w:tcBorders>
            <w:vAlign w:val="center"/>
          </w:tcPr>
          <w:p>
            <w:pPr>
              <w:widowControl/>
              <w:jc w:val="left"/>
              <w:rPr>
                <w:rFonts w:ascii="楷体" w:hAnsi="楷体" w:eastAsia="楷体" w:cs="楷体"/>
                <w:kern w:val="0"/>
                <w:sz w:val="24"/>
              </w:rPr>
            </w:pPr>
          </w:p>
        </w:tc>
        <w:tc>
          <w:tcPr>
            <w:tcW w:w="1380" w:type="dxa"/>
            <w:gridSpan w:val="2"/>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楷体"/>
                <w:kern w:val="0"/>
                <w:sz w:val="24"/>
              </w:rPr>
            </w:pPr>
            <w:r>
              <w:rPr>
                <w:rFonts w:ascii="楷体" w:hAnsi="楷体" w:eastAsia="楷体" w:cs="楷体"/>
                <w:kern w:val="0"/>
                <w:sz w:val="24"/>
                <w:lang w:bidi="ar"/>
              </w:rPr>
              <w:t>联系电话</w:t>
            </w:r>
          </w:p>
        </w:tc>
        <w:tc>
          <w:tcPr>
            <w:tcW w:w="2010" w:type="dxa"/>
            <w:gridSpan w:val="3"/>
            <w:tcBorders>
              <w:top w:val="single" w:color="auto" w:sz="4" w:space="0"/>
              <w:left w:val="nil"/>
              <w:bottom w:val="single" w:color="auto" w:sz="4" w:space="0"/>
              <w:right w:val="single" w:color="auto" w:sz="4" w:space="0"/>
            </w:tcBorders>
            <w:vAlign w:val="center"/>
          </w:tcPr>
          <w:p>
            <w:pPr>
              <w:widowControl/>
              <w:rPr>
                <w:rFonts w:ascii="楷体" w:hAnsi="楷体" w:eastAsia="楷体" w:cs="楷体"/>
                <w:kern w:val="0"/>
                <w:sz w:val="24"/>
              </w:rPr>
            </w:pPr>
          </w:p>
        </w:tc>
        <w:tc>
          <w:tcPr>
            <w:tcW w:w="1451" w:type="dxa"/>
            <w:gridSpan w:val="2"/>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楷体"/>
                <w:kern w:val="0"/>
                <w:sz w:val="24"/>
              </w:rPr>
            </w:pPr>
            <w:r>
              <w:rPr>
                <w:rFonts w:ascii="楷体" w:hAnsi="楷体" w:eastAsia="楷体" w:cs="楷体"/>
                <w:kern w:val="0"/>
                <w:sz w:val="24"/>
                <w:lang w:bidi="ar"/>
              </w:rPr>
              <w:t>电子邮箱</w:t>
            </w:r>
          </w:p>
        </w:tc>
        <w:tc>
          <w:tcPr>
            <w:tcW w:w="1767" w:type="dxa"/>
            <w:gridSpan w:val="2"/>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楷体"/>
                <w:kern w:val="0"/>
                <w:sz w:val="24"/>
              </w:rPr>
            </w:pPr>
          </w:p>
        </w:tc>
      </w:tr>
      <w:tr>
        <w:tblPrEx>
          <w:tblLayout w:type="fixed"/>
          <w:tblCellMar>
            <w:top w:w="0" w:type="dxa"/>
            <w:left w:w="108" w:type="dxa"/>
            <w:bottom w:w="0" w:type="dxa"/>
            <w:right w:w="108" w:type="dxa"/>
          </w:tblCellMar>
        </w:tblPrEx>
        <w:trPr>
          <w:trHeight w:val="579" w:hRule="atLeast"/>
        </w:trPr>
        <w:tc>
          <w:tcPr>
            <w:tcW w:w="1398" w:type="dxa"/>
            <w:gridSpan w:val="2"/>
            <w:vMerge w:val="continue"/>
            <w:tcBorders>
              <w:top w:val="nil"/>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1480" w:type="dxa"/>
            <w:gridSpan w:val="2"/>
            <w:tcBorders>
              <w:top w:val="single" w:color="auto" w:sz="4" w:space="0"/>
              <w:left w:val="nil"/>
              <w:bottom w:val="single" w:color="auto" w:sz="4" w:space="0"/>
              <w:right w:val="single" w:color="auto" w:sz="4" w:space="0"/>
            </w:tcBorders>
            <w:vAlign w:val="center"/>
          </w:tcPr>
          <w:p>
            <w:pPr>
              <w:widowControl/>
              <w:rPr>
                <w:rFonts w:ascii="楷体" w:hAnsi="楷体" w:eastAsia="楷体" w:cs="楷体"/>
                <w:kern w:val="0"/>
                <w:sz w:val="24"/>
              </w:rPr>
            </w:pPr>
          </w:p>
        </w:tc>
        <w:tc>
          <w:tcPr>
            <w:tcW w:w="1380" w:type="dxa"/>
            <w:gridSpan w:val="2"/>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楷体"/>
                <w:kern w:val="0"/>
                <w:sz w:val="24"/>
              </w:rPr>
            </w:pPr>
            <w:r>
              <w:rPr>
                <w:rFonts w:ascii="楷体" w:hAnsi="楷体" w:eastAsia="楷体" w:cs="楷体"/>
                <w:kern w:val="0"/>
                <w:sz w:val="24"/>
                <w:lang w:bidi="ar"/>
              </w:rPr>
              <w:t>QQ</w:t>
            </w:r>
          </w:p>
        </w:tc>
        <w:tc>
          <w:tcPr>
            <w:tcW w:w="2010" w:type="dxa"/>
            <w:gridSpan w:val="3"/>
            <w:tcBorders>
              <w:top w:val="single" w:color="auto" w:sz="4" w:space="0"/>
              <w:left w:val="nil"/>
              <w:bottom w:val="single" w:color="auto" w:sz="4" w:space="0"/>
              <w:right w:val="single" w:color="auto" w:sz="4" w:space="0"/>
            </w:tcBorders>
            <w:vAlign w:val="center"/>
          </w:tcPr>
          <w:p>
            <w:pPr>
              <w:widowControl/>
              <w:rPr>
                <w:rFonts w:ascii="楷体" w:hAnsi="楷体" w:eastAsia="楷体" w:cs="楷体"/>
                <w:kern w:val="0"/>
                <w:sz w:val="24"/>
              </w:rPr>
            </w:pPr>
          </w:p>
        </w:tc>
        <w:tc>
          <w:tcPr>
            <w:tcW w:w="1451" w:type="dxa"/>
            <w:gridSpan w:val="2"/>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楷体"/>
                <w:kern w:val="0"/>
                <w:sz w:val="24"/>
              </w:rPr>
            </w:pPr>
            <w:r>
              <w:rPr>
                <w:rFonts w:ascii="楷体" w:hAnsi="楷体" w:eastAsia="楷体" w:cs="楷体"/>
                <w:kern w:val="0"/>
                <w:sz w:val="24"/>
                <w:lang w:bidi="ar"/>
              </w:rPr>
              <w:t>微信</w:t>
            </w:r>
          </w:p>
        </w:tc>
        <w:tc>
          <w:tcPr>
            <w:tcW w:w="1767" w:type="dxa"/>
            <w:gridSpan w:val="2"/>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楷体"/>
                <w:kern w:val="0"/>
                <w:sz w:val="24"/>
              </w:rPr>
            </w:pPr>
          </w:p>
        </w:tc>
      </w:tr>
      <w:tr>
        <w:tblPrEx>
          <w:tblLayout w:type="fixed"/>
          <w:tblCellMar>
            <w:top w:w="0" w:type="dxa"/>
            <w:left w:w="108" w:type="dxa"/>
            <w:bottom w:w="0" w:type="dxa"/>
            <w:right w:w="108" w:type="dxa"/>
          </w:tblCellMar>
        </w:tblPrEx>
        <w:trPr>
          <w:trHeight w:val="570" w:hRule="atLeast"/>
        </w:trPr>
        <w:tc>
          <w:tcPr>
            <w:tcW w:w="1398"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楷体" w:hAnsi="楷体" w:eastAsia="楷体" w:cs="楷体"/>
                <w:kern w:val="0"/>
                <w:sz w:val="24"/>
              </w:rPr>
            </w:pPr>
            <w:r>
              <w:rPr>
                <w:rFonts w:ascii="楷体" w:hAnsi="楷体" w:eastAsia="楷体" w:cs="楷体"/>
                <w:kern w:val="0"/>
                <w:sz w:val="24"/>
                <w:lang w:bidi="ar"/>
              </w:rPr>
              <w:t>主要</w:t>
            </w:r>
          </w:p>
          <w:p>
            <w:pPr>
              <w:widowControl/>
              <w:jc w:val="center"/>
              <w:rPr>
                <w:rFonts w:ascii="楷体" w:hAnsi="楷体" w:eastAsia="楷体" w:cs="楷体"/>
                <w:kern w:val="0"/>
                <w:sz w:val="24"/>
              </w:rPr>
            </w:pPr>
            <w:r>
              <w:rPr>
                <w:rFonts w:ascii="楷体" w:hAnsi="楷体" w:eastAsia="楷体" w:cs="楷体"/>
                <w:kern w:val="0"/>
                <w:sz w:val="24"/>
                <w:lang w:bidi="ar"/>
              </w:rPr>
              <w:t>联系人</w:t>
            </w:r>
          </w:p>
        </w:tc>
        <w:tc>
          <w:tcPr>
            <w:tcW w:w="1480" w:type="dxa"/>
            <w:gridSpan w:val="2"/>
            <w:tcBorders>
              <w:top w:val="single" w:color="auto" w:sz="4" w:space="0"/>
              <w:left w:val="nil"/>
              <w:bottom w:val="single" w:color="auto" w:sz="4" w:space="0"/>
              <w:right w:val="single" w:color="auto" w:sz="4" w:space="0"/>
            </w:tcBorders>
            <w:vAlign w:val="center"/>
          </w:tcPr>
          <w:p>
            <w:pPr>
              <w:widowControl/>
              <w:rPr>
                <w:rFonts w:ascii="楷体" w:hAnsi="楷体" w:eastAsia="楷体" w:cs="楷体"/>
                <w:kern w:val="0"/>
                <w:sz w:val="24"/>
              </w:rPr>
            </w:pPr>
          </w:p>
        </w:tc>
        <w:tc>
          <w:tcPr>
            <w:tcW w:w="1380" w:type="dxa"/>
            <w:gridSpan w:val="2"/>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楷体"/>
                <w:kern w:val="0"/>
                <w:sz w:val="24"/>
              </w:rPr>
            </w:pPr>
            <w:r>
              <w:rPr>
                <w:rFonts w:ascii="楷体" w:hAnsi="楷体" w:eastAsia="楷体" w:cs="楷体"/>
                <w:kern w:val="0"/>
                <w:sz w:val="24"/>
                <w:lang w:bidi="ar"/>
              </w:rPr>
              <w:t>联系电话</w:t>
            </w:r>
          </w:p>
        </w:tc>
        <w:tc>
          <w:tcPr>
            <w:tcW w:w="2010" w:type="dxa"/>
            <w:gridSpan w:val="3"/>
            <w:tcBorders>
              <w:top w:val="single" w:color="auto" w:sz="4" w:space="0"/>
              <w:left w:val="nil"/>
              <w:bottom w:val="single" w:color="auto" w:sz="4" w:space="0"/>
              <w:right w:val="single" w:color="auto" w:sz="4" w:space="0"/>
            </w:tcBorders>
            <w:vAlign w:val="center"/>
          </w:tcPr>
          <w:p>
            <w:pPr>
              <w:widowControl/>
              <w:rPr>
                <w:rFonts w:ascii="楷体" w:hAnsi="楷体" w:eastAsia="楷体" w:cs="楷体"/>
                <w:kern w:val="0"/>
                <w:sz w:val="24"/>
              </w:rPr>
            </w:pPr>
          </w:p>
        </w:tc>
        <w:tc>
          <w:tcPr>
            <w:tcW w:w="1451" w:type="dxa"/>
            <w:gridSpan w:val="2"/>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楷体"/>
                <w:kern w:val="0"/>
                <w:sz w:val="24"/>
              </w:rPr>
            </w:pPr>
            <w:r>
              <w:rPr>
                <w:rFonts w:ascii="楷体" w:hAnsi="楷体" w:eastAsia="楷体" w:cs="楷体"/>
                <w:kern w:val="0"/>
                <w:sz w:val="24"/>
                <w:lang w:bidi="ar"/>
              </w:rPr>
              <w:t>电子邮箱</w:t>
            </w:r>
          </w:p>
        </w:tc>
        <w:tc>
          <w:tcPr>
            <w:tcW w:w="1767" w:type="dxa"/>
            <w:gridSpan w:val="2"/>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楷体"/>
                <w:kern w:val="0"/>
                <w:sz w:val="24"/>
              </w:rPr>
            </w:pPr>
          </w:p>
        </w:tc>
      </w:tr>
      <w:tr>
        <w:tblPrEx>
          <w:tblLayout w:type="fixed"/>
          <w:tblCellMar>
            <w:top w:w="0" w:type="dxa"/>
            <w:left w:w="108" w:type="dxa"/>
            <w:bottom w:w="0" w:type="dxa"/>
            <w:right w:w="108" w:type="dxa"/>
          </w:tblCellMar>
        </w:tblPrEx>
        <w:trPr>
          <w:trHeight w:val="570" w:hRule="atLeast"/>
        </w:trPr>
        <w:tc>
          <w:tcPr>
            <w:tcW w:w="1398" w:type="dxa"/>
            <w:gridSpan w:val="2"/>
            <w:vMerge w:val="continue"/>
            <w:tcBorders>
              <w:top w:val="nil"/>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1480" w:type="dxa"/>
            <w:gridSpan w:val="2"/>
            <w:tcBorders>
              <w:top w:val="single" w:color="auto" w:sz="4" w:space="0"/>
              <w:left w:val="nil"/>
              <w:bottom w:val="single" w:color="auto" w:sz="4" w:space="0"/>
              <w:right w:val="single" w:color="auto" w:sz="4" w:space="0"/>
            </w:tcBorders>
            <w:vAlign w:val="center"/>
          </w:tcPr>
          <w:p>
            <w:pPr>
              <w:widowControl/>
              <w:rPr>
                <w:rFonts w:ascii="楷体" w:hAnsi="楷体" w:eastAsia="楷体" w:cs="楷体"/>
                <w:kern w:val="0"/>
                <w:sz w:val="24"/>
              </w:rPr>
            </w:pPr>
          </w:p>
        </w:tc>
        <w:tc>
          <w:tcPr>
            <w:tcW w:w="1380" w:type="dxa"/>
            <w:gridSpan w:val="2"/>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楷体"/>
                <w:kern w:val="0"/>
                <w:sz w:val="24"/>
              </w:rPr>
            </w:pPr>
            <w:r>
              <w:rPr>
                <w:rFonts w:ascii="楷体" w:hAnsi="楷体" w:eastAsia="楷体" w:cs="楷体"/>
                <w:kern w:val="0"/>
                <w:sz w:val="24"/>
                <w:lang w:bidi="ar"/>
              </w:rPr>
              <w:t>QQ</w:t>
            </w:r>
          </w:p>
        </w:tc>
        <w:tc>
          <w:tcPr>
            <w:tcW w:w="2010" w:type="dxa"/>
            <w:gridSpan w:val="3"/>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楷体"/>
                <w:kern w:val="0"/>
                <w:sz w:val="24"/>
              </w:rPr>
            </w:pPr>
          </w:p>
        </w:tc>
        <w:tc>
          <w:tcPr>
            <w:tcW w:w="1451" w:type="dxa"/>
            <w:gridSpan w:val="2"/>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楷体"/>
                <w:kern w:val="0"/>
                <w:sz w:val="24"/>
              </w:rPr>
            </w:pPr>
            <w:r>
              <w:rPr>
                <w:rFonts w:ascii="楷体" w:hAnsi="楷体" w:eastAsia="楷体" w:cs="楷体"/>
                <w:kern w:val="0"/>
                <w:sz w:val="24"/>
                <w:lang w:bidi="ar"/>
              </w:rPr>
              <w:t>微信</w:t>
            </w:r>
          </w:p>
        </w:tc>
        <w:tc>
          <w:tcPr>
            <w:tcW w:w="1767" w:type="dxa"/>
            <w:gridSpan w:val="2"/>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楷体"/>
                <w:kern w:val="0"/>
                <w:sz w:val="24"/>
              </w:rPr>
            </w:pPr>
          </w:p>
        </w:tc>
      </w:tr>
      <w:tr>
        <w:tblPrEx>
          <w:tblLayout w:type="fixed"/>
          <w:tblCellMar>
            <w:top w:w="0" w:type="dxa"/>
            <w:left w:w="108" w:type="dxa"/>
            <w:bottom w:w="0" w:type="dxa"/>
            <w:right w:w="108" w:type="dxa"/>
          </w:tblCellMar>
        </w:tblPrEx>
        <w:trPr>
          <w:trHeight w:val="1992" w:hRule="atLeast"/>
        </w:trPr>
        <w:tc>
          <w:tcPr>
            <w:tcW w:w="9486" w:type="dxa"/>
            <w:gridSpan w:val="13"/>
            <w:tcBorders>
              <w:top w:val="single" w:color="auto" w:sz="4" w:space="0"/>
              <w:left w:val="single" w:color="auto" w:sz="4" w:space="0"/>
              <w:bottom w:val="single" w:color="auto" w:sz="4" w:space="0"/>
              <w:right w:val="single" w:color="auto" w:sz="4" w:space="0"/>
            </w:tcBorders>
          </w:tcPr>
          <w:p>
            <w:pPr>
              <w:widowControl/>
              <w:rPr>
                <w:rFonts w:ascii="楷体" w:hAnsi="楷体" w:eastAsia="楷体" w:cs="楷体"/>
                <w:kern w:val="0"/>
                <w:sz w:val="28"/>
                <w:szCs w:val="28"/>
              </w:rPr>
            </w:pPr>
            <w:r>
              <w:rPr>
                <w:rFonts w:ascii="楷体" w:hAnsi="楷体" w:eastAsia="楷体" w:cs="楷体"/>
                <w:kern w:val="0"/>
                <w:sz w:val="28"/>
                <w:szCs w:val="28"/>
                <w:lang w:bidi="ar"/>
              </w:rPr>
              <w:t xml:space="preserve">主要负责人（法人）签名确认或加盖企业公章：                        </w:t>
            </w:r>
          </w:p>
          <w:p>
            <w:pPr>
              <w:widowControl/>
              <w:rPr>
                <w:rFonts w:ascii="楷体" w:hAnsi="楷体" w:eastAsia="楷体" w:cs="楷体"/>
                <w:kern w:val="0"/>
                <w:sz w:val="28"/>
                <w:szCs w:val="28"/>
              </w:rPr>
            </w:pPr>
            <w:r>
              <w:rPr>
                <w:rFonts w:ascii="楷体" w:hAnsi="楷体" w:eastAsia="楷体" w:cs="楷体"/>
                <w:kern w:val="0"/>
                <w:sz w:val="28"/>
                <w:szCs w:val="28"/>
                <w:lang w:bidi="ar"/>
              </w:rPr>
              <w:t xml:space="preserve">                                               </w:t>
            </w:r>
          </w:p>
          <w:p>
            <w:pPr>
              <w:widowControl/>
              <w:rPr>
                <w:rFonts w:ascii="楷体" w:hAnsi="楷体" w:eastAsia="楷体" w:cs="楷体"/>
                <w:kern w:val="0"/>
                <w:sz w:val="28"/>
                <w:szCs w:val="28"/>
              </w:rPr>
            </w:pPr>
            <w:r>
              <w:rPr>
                <w:rFonts w:ascii="楷体" w:hAnsi="楷体" w:eastAsia="楷体" w:cs="楷体"/>
                <w:kern w:val="0"/>
                <w:sz w:val="28"/>
                <w:szCs w:val="28"/>
                <w:lang w:bidi="ar"/>
              </w:rPr>
              <w:t xml:space="preserve">                                               年    月    日</w:t>
            </w:r>
          </w:p>
        </w:tc>
      </w:tr>
    </w:tbl>
    <w:p>
      <w:pPr>
        <w:spacing w:line="500" w:lineRule="exact"/>
        <w:rPr>
          <w:rFonts w:ascii="Times New Roman" w:hAnsi="Times New Roman" w:eastAsia="仿宋_GB2312" w:cs="仿宋_GB2312"/>
          <w:sz w:val="32"/>
          <w:szCs w:val="32"/>
        </w:rPr>
        <w:sectPr>
          <w:pgSz w:w="11906" w:h="16838"/>
          <w:pgMar w:top="1440" w:right="1797" w:bottom="1440" w:left="1797" w:header="851" w:footer="992" w:gutter="0"/>
          <w:pgNumType w:fmt="numberInDash"/>
          <w:cols w:space="425" w:num="1"/>
          <w:docGrid w:type="lines" w:linePitch="312" w:charSpace="0"/>
        </w:sectPr>
      </w:pPr>
    </w:p>
    <w:p>
      <w:pPr>
        <w:spacing w:line="500" w:lineRule="exact"/>
        <w:rPr>
          <w:rFonts w:ascii="Times New Roman" w:hAnsi="Times New Roman" w:eastAsia="仿宋_GB2312" w:cs="仿宋_GB2312"/>
          <w:sz w:val="32"/>
          <w:szCs w:val="32"/>
        </w:rPr>
        <w:sectPr>
          <w:pgSz w:w="11906" w:h="16838"/>
          <w:pgMar w:top="1440" w:right="1797" w:bottom="1440" w:left="1797" w:header="851" w:footer="992" w:gutter="0"/>
          <w:pgNumType w:fmt="numberInDash"/>
          <w:cols w:space="425" w:num="1"/>
          <w:docGrid w:type="lines" w:linePitch="312" w:charSpace="0"/>
        </w:sectPr>
      </w:pPr>
    </w:p>
    <w:p>
      <w:pPr>
        <w:spacing w:line="500" w:lineRule="exact"/>
        <w:rPr>
          <w:rFonts w:ascii="Times New Roman" w:hAnsi="Times New Roman" w:eastAsia="仿宋_GB2312" w:cs="仿宋_GB2312"/>
          <w:sz w:val="32"/>
          <w:szCs w:val="32"/>
        </w:rPr>
      </w:pPr>
    </w:p>
    <w:p>
      <w:pPr>
        <w:spacing w:line="500" w:lineRule="exact"/>
        <w:rPr>
          <w:rFonts w:ascii="Times New Roman" w:hAnsi="Times New Roman" w:eastAsia="仿宋_GB2312" w:cs="仿宋_GB2312"/>
          <w:sz w:val="32"/>
          <w:szCs w:val="32"/>
        </w:rPr>
      </w:pPr>
    </w:p>
    <w:p>
      <w:pPr>
        <w:spacing w:line="500" w:lineRule="exact"/>
        <w:rPr>
          <w:rFonts w:ascii="Times New Roman" w:hAnsi="Times New Roman" w:eastAsia="仿宋_GB2312" w:cs="仿宋_GB2312"/>
          <w:sz w:val="32"/>
          <w:szCs w:val="32"/>
        </w:rPr>
      </w:pPr>
    </w:p>
    <w:p>
      <w:pPr>
        <w:spacing w:line="500" w:lineRule="exact"/>
        <w:rPr>
          <w:rFonts w:ascii="Times New Roman" w:hAnsi="Times New Roman" w:eastAsia="仿宋_GB2312" w:cs="仿宋_GB2312"/>
          <w:sz w:val="32"/>
          <w:szCs w:val="32"/>
        </w:rPr>
      </w:pPr>
    </w:p>
    <w:p>
      <w:pPr>
        <w:spacing w:line="500" w:lineRule="exact"/>
        <w:rPr>
          <w:rFonts w:ascii="Times New Roman" w:hAnsi="Times New Roman" w:eastAsia="仿宋_GB2312" w:cs="仿宋_GB2312"/>
          <w:sz w:val="32"/>
          <w:szCs w:val="32"/>
        </w:rPr>
      </w:pPr>
    </w:p>
    <w:p>
      <w:pPr>
        <w:spacing w:line="500" w:lineRule="exact"/>
        <w:rPr>
          <w:rFonts w:ascii="Times New Roman" w:hAnsi="Times New Roman" w:eastAsia="仿宋_GB2312" w:cs="仿宋_GB2312"/>
          <w:sz w:val="32"/>
          <w:szCs w:val="32"/>
        </w:rPr>
      </w:pPr>
    </w:p>
    <w:p>
      <w:pPr>
        <w:spacing w:line="500" w:lineRule="exact"/>
        <w:rPr>
          <w:rFonts w:ascii="Times New Roman" w:hAnsi="Times New Roman" w:eastAsia="仿宋_GB2312" w:cs="仿宋_GB2312"/>
          <w:sz w:val="32"/>
          <w:szCs w:val="32"/>
        </w:rPr>
      </w:pPr>
    </w:p>
    <w:p>
      <w:pPr>
        <w:spacing w:line="500" w:lineRule="exact"/>
        <w:rPr>
          <w:rFonts w:ascii="Times New Roman" w:hAnsi="Times New Roman" w:eastAsia="仿宋_GB2312" w:cs="仿宋_GB2312"/>
          <w:sz w:val="32"/>
          <w:szCs w:val="32"/>
        </w:rPr>
      </w:pPr>
    </w:p>
    <w:p>
      <w:pPr>
        <w:spacing w:line="500" w:lineRule="exact"/>
        <w:rPr>
          <w:rFonts w:ascii="Times New Roman" w:hAnsi="Times New Roman" w:eastAsia="仿宋_GB2312" w:cs="仿宋_GB2312"/>
          <w:sz w:val="32"/>
          <w:szCs w:val="32"/>
        </w:rPr>
      </w:pPr>
    </w:p>
    <w:p>
      <w:pPr>
        <w:spacing w:line="500" w:lineRule="exact"/>
        <w:rPr>
          <w:rFonts w:ascii="Times New Roman" w:hAnsi="Times New Roman" w:eastAsia="仿宋_GB2312" w:cs="仿宋_GB2312"/>
          <w:sz w:val="32"/>
          <w:szCs w:val="32"/>
        </w:rPr>
      </w:pPr>
    </w:p>
    <w:p>
      <w:pPr>
        <w:spacing w:line="500" w:lineRule="exact"/>
        <w:rPr>
          <w:rFonts w:ascii="Times New Roman" w:hAnsi="Times New Roman" w:eastAsia="仿宋_GB2312" w:cs="仿宋_GB2312"/>
          <w:sz w:val="32"/>
          <w:szCs w:val="32"/>
        </w:rPr>
      </w:pPr>
    </w:p>
    <w:p>
      <w:pPr>
        <w:spacing w:line="500" w:lineRule="exact"/>
        <w:rPr>
          <w:rFonts w:ascii="Times New Roman" w:hAnsi="Times New Roman" w:eastAsia="仿宋_GB2312" w:cs="仿宋_GB2312"/>
          <w:sz w:val="32"/>
          <w:szCs w:val="32"/>
        </w:rPr>
      </w:pPr>
    </w:p>
    <w:p>
      <w:pPr>
        <w:spacing w:line="500" w:lineRule="exact"/>
        <w:rPr>
          <w:rFonts w:ascii="Times New Roman" w:hAnsi="Times New Roman" w:eastAsia="仿宋_GB2312" w:cs="仿宋_GB2312"/>
          <w:sz w:val="32"/>
          <w:szCs w:val="32"/>
        </w:rPr>
      </w:pPr>
    </w:p>
    <w:p>
      <w:pPr>
        <w:spacing w:line="500" w:lineRule="exact"/>
        <w:rPr>
          <w:rFonts w:ascii="Times New Roman" w:hAnsi="Times New Roman" w:eastAsia="仿宋_GB2312" w:cs="仿宋_GB2312"/>
          <w:sz w:val="32"/>
          <w:szCs w:val="32"/>
        </w:rPr>
      </w:pPr>
    </w:p>
    <w:p>
      <w:pPr>
        <w:spacing w:line="500" w:lineRule="exact"/>
        <w:rPr>
          <w:rFonts w:ascii="Times New Roman" w:hAnsi="Times New Roman" w:eastAsia="仿宋_GB2312" w:cs="仿宋_GB2312"/>
          <w:sz w:val="32"/>
          <w:szCs w:val="32"/>
        </w:rPr>
      </w:pPr>
    </w:p>
    <w:p>
      <w:pPr>
        <w:spacing w:line="500" w:lineRule="exact"/>
        <w:rPr>
          <w:rFonts w:ascii="Times New Roman" w:hAnsi="Times New Roman" w:eastAsia="仿宋_GB2312" w:cs="仿宋_GB2312"/>
          <w:sz w:val="32"/>
          <w:szCs w:val="32"/>
        </w:rPr>
      </w:pPr>
    </w:p>
    <w:p>
      <w:pPr>
        <w:spacing w:line="500" w:lineRule="exact"/>
        <w:rPr>
          <w:rFonts w:ascii="Times New Roman" w:hAnsi="Times New Roman" w:eastAsia="仿宋_GB2312" w:cs="仿宋_GB2312"/>
          <w:sz w:val="32"/>
          <w:szCs w:val="32"/>
        </w:rPr>
      </w:pPr>
    </w:p>
    <w:p>
      <w:pPr>
        <w:spacing w:line="500" w:lineRule="exact"/>
        <w:rPr>
          <w:rFonts w:ascii="Times New Roman" w:hAnsi="Times New Roman" w:eastAsia="仿宋_GB2312" w:cs="仿宋_GB2312"/>
          <w:sz w:val="32"/>
          <w:szCs w:val="32"/>
        </w:rPr>
      </w:pPr>
    </w:p>
    <w:p>
      <w:pPr>
        <w:spacing w:line="500" w:lineRule="exact"/>
        <w:rPr>
          <w:rFonts w:ascii="Times New Roman" w:hAnsi="Times New Roman" w:eastAsia="仿宋_GB2312" w:cs="仿宋_GB2312"/>
          <w:sz w:val="32"/>
          <w:szCs w:val="32"/>
        </w:rPr>
      </w:pPr>
    </w:p>
    <w:p>
      <w:pPr>
        <w:spacing w:line="500" w:lineRule="exact"/>
        <w:rPr>
          <w:rFonts w:ascii="Times New Roman" w:hAnsi="Times New Roman" w:eastAsia="仿宋_GB2312" w:cs="仿宋_GB2312"/>
          <w:sz w:val="32"/>
          <w:szCs w:val="32"/>
        </w:rPr>
      </w:pPr>
    </w:p>
    <w:p>
      <w:pPr>
        <w:spacing w:line="500" w:lineRule="exact"/>
        <w:rPr>
          <w:rFonts w:ascii="Times New Roman" w:hAnsi="Times New Roman" w:eastAsia="仿宋_GB2312" w:cs="仿宋_GB2312"/>
          <w:sz w:val="32"/>
          <w:szCs w:val="32"/>
        </w:rPr>
      </w:pPr>
    </w:p>
    <w:p>
      <w:pPr>
        <w:spacing w:line="500" w:lineRule="exact"/>
        <w:rPr>
          <w:rFonts w:ascii="Times New Roman" w:hAnsi="Times New Roman" w:eastAsia="仿宋_GB2312" w:cs="仿宋_GB2312"/>
          <w:sz w:val="32"/>
          <w:szCs w:val="32"/>
        </w:rPr>
      </w:pPr>
    </w:p>
    <w:p>
      <w:pPr>
        <w:spacing w:line="500" w:lineRule="exact"/>
        <w:rPr>
          <w:rFonts w:ascii="Times New Roman" w:hAnsi="Times New Roman" w:eastAsia="仿宋_GB2312" w:cs="仿宋_GB2312"/>
          <w:sz w:val="32"/>
          <w:szCs w:val="32"/>
        </w:rPr>
      </w:pPr>
    </w:p>
    <w:p>
      <w:pPr>
        <w:spacing w:line="500" w:lineRule="exact"/>
        <w:rPr>
          <w:rFonts w:ascii="Times New Roman" w:hAnsi="Times New Roman" w:eastAsia="仿宋_GB2312" w:cs="仿宋_GB2312"/>
          <w:sz w:val="32"/>
          <w:szCs w:val="32"/>
        </w:rPr>
      </w:pPr>
    </w:p>
    <w:p>
      <w:pPr>
        <w:spacing w:before="156" w:beforeLines="50" w:line="400" w:lineRule="exac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43180</wp:posOffset>
                </wp:positionV>
                <wp:extent cx="5715000" cy="0"/>
                <wp:effectExtent l="0" t="0" r="0" b="0"/>
                <wp:wrapNone/>
                <wp:docPr id="3" name="Line 22"/>
                <wp:cNvGraphicFramePr/>
                <a:graphic xmlns:a="http://schemas.openxmlformats.org/drawingml/2006/main">
                  <a:graphicData uri="http://schemas.microsoft.com/office/word/2010/wordprocessingShape">
                    <wps:wsp>
                      <wps:cNvCnPr/>
                      <wps:spPr>
                        <a:xfrm>
                          <a:off x="0" y="0"/>
                          <a:ext cx="5715000"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Line 22" o:spid="_x0000_s1026" o:spt="20" style="position:absolute;left:0pt;margin-left:-3.75pt;margin-top:3.4pt;height:0pt;width:450pt;z-index:251660288;mso-width-relative:page;mso-height-relative:page;" filled="f" stroked="t" coordsize="21600,21600" o:gfxdata="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eFA8v1QAAAAYBAAAPAAAAAAAAAAEAIAAAACIAAABkcnMvZG93bnJldi54bWxQ&#10;SwECFAAUAAAACACHTuJAupn1YMEBAACMAwAADgAAAAAAAAABACAAAAAkAQAAZHJzL2Uyb0RvYy54&#10;bWxQSwUGAAAAAAYABgBZAQAAVwUAAAAA&#10;">
                <v:fill on="f" focussize="0,0"/>
                <v:stroke weight="0.25pt" color="#000000" joinstyle="round"/>
                <v:imagedata o:title=""/>
                <o:lock v:ext="edit" aspectratio="f"/>
              </v:line>
            </w:pict>
          </mc:Fallback>
        </mc:AlternateContent>
      </w:r>
      <w:r>
        <w:rPr>
          <w:rFonts w:hint="eastAsia" w:ascii="方正仿宋_GBK" w:hAnsi="方正仿宋_GBK" w:eastAsia="方正仿宋_GBK" w:cs="方正仿宋_GBK"/>
          <w:sz w:val="32"/>
          <w:szCs w:val="32"/>
        </w:rPr>
        <mc:AlternateContent>
          <mc:Choice Requires="wps">
            <w:drawing>
              <wp:anchor distT="0" distB="0" distL="114300" distR="114300" simplePos="0" relativeHeight="251662336" behindDoc="0" locked="0" layoutInCell="1" allowOverlap="1">
                <wp:simplePos x="0" y="0"/>
                <wp:positionH relativeFrom="column">
                  <wp:posOffset>-76200</wp:posOffset>
                </wp:positionH>
                <wp:positionV relativeFrom="paragraph">
                  <wp:posOffset>485140</wp:posOffset>
                </wp:positionV>
                <wp:extent cx="5715000" cy="635"/>
                <wp:effectExtent l="0" t="0" r="0" b="0"/>
                <wp:wrapNone/>
                <wp:docPr id="2" name="Line 23"/>
                <wp:cNvGraphicFramePr/>
                <a:graphic xmlns:a="http://schemas.openxmlformats.org/drawingml/2006/main">
                  <a:graphicData uri="http://schemas.microsoft.com/office/word/2010/wordprocessingShape">
                    <wps:wsp>
                      <wps:cNvCnPr/>
                      <wps:spPr>
                        <a:xfrm>
                          <a:off x="0" y="0"/>
                          <a:ext cx="5715000" cy="635"/>
                        </a:xfrm>
                        <a:prstGeom prst="line">
                          <a:avLst/>
                        </a:prstGeom>
                        <a:ln w="4444" cap="flat" cmpd="sng">
                          <a:solidFill>
                            <a:srgbClr val="000000"/>
                          </a:solidFill>
                          <a:prstDash val="solid"/>
                          <a:headEnd type="none" w="med" len="med"/>
                          <a:tailEnd type="none" w="med" len="med"/>
                        </a:ln>
                      </wps:spPr>
                      <wps:bodyPr upright="1"/>
                    </wps:wsp>
                  </a:graphicData>
                </a:graphic>
              </wp:anchor>
            </w:drawing>
          </mc:Choice>
          <mc:Fallback>
            <w:pict>
              <v:line id="Line 23" o:spid="_x0000_s1026" o:spt="20" style="position:absolute;left:0pt;margin-left:-6pt;margin-top:38.2pt;height:0.05pt;width:450pt;z-index:251662336;mso-width-relative:page;mso-height-relative:page;" filled="f" stroked="t" coordsize="21600,21600" o:gfxdata="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dpPBn2AAAAAkBAAAPAAAAAAAAAAEAIAAAACIAAABkcnMvZG93bnJldi54&#10;bWxQSwECFAAUAAAACACHTuJAMtQ9PcEBAACOAwAADgAAAAAAAAABACAAAAAnAQAAZHJzL2Uyb0Rv&#10;Yy54bWxQSwUGAAAAAAYABgBZAQAAWgUAAAAA&#10;">
                <v:fill on="f" focussize="0,0"/>
                <v:stroke weight="0.34992125984252pt" color="#000000" joinstyle="round"/>
                <v:imagedata o:title=""/>
                <o:lock v:ext="edit" aspectratio="f"/>
              </v:line>
            </w:pict>
          </mc:Fallback>
        </mc:AlternateContent>
      </w:r>
      <w:r>
        <w:rPr>
          <w:rFonts w:hint="eastAsia" w:ascii="方正仿宋_GBK" w:hAnsi="方正仿宋_GBK" w:eastAsia="方正仿宋_GBK" w:cs="方正仿宋_GBK"/>
          <w:sz w:val="32"/>
          <w:szCs w:val="32"/>
        </w:rPr>
        <w:t xml:space="preserve"> 共青团广东省委办公室             201</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4日印发</w:t>
      </w:r>
    </w:p>
    <w:p>
      <w:pPr>
        <w:spacing w:before="156" w:beforeLines="50" w:line="400" w:lineRule="exact"/>
        <w:rPr>
          <w:rFonts w:hint="eastAsia" w:ascii="方正仿宋_GBK" w:hAnsi="方正仿宋_GBK" w:eastAsia="方正仿宋_GBK" w:cs="方正仿宋_GBK"/>
          <w:sz w:val="32"/>
          <w:szCs w:val="32"/>
          <w:lang w:val="en-US" w:eastAsia="zh-CN"/>
        </w:rPr>
      </w:pPr>
      <w:bookmarkStart w:id="0" w:name="_GoBack"/>
      <w:bookmarkEnd w:id="0"/>
    </w:p>
    <w:p>
      <w:pPr>
        <w:spacing w:before="156" w:beforeLines="50" w:line="400" w:lineRule="exact"/>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（共印330份）</w:t>
      </w:r>
    </w:p>
    <w:sectPr>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14AF83-666F-4D59-94B0-67DDEDBCB39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embedRegular r:id="rId2" w:fontKey="{A99DB6E1-CBF6-4B31-841A-8C479DF9446A}"/>
  </w:font>
  <w:font w:name="仿宋_GB2312">
    <w:panose1 w:val="02010609030101010101"/>
    <w:charset w:val="86"/>
    <w:family w:val="modern"/>
    <w:pitch w:val="default"/>
    <w:sig w:usb0="00000000" w:usb1="00000000" w:usb2="00000000" w:usb3="00000000" w:csb0="00000000" w:csb1="00000000"/>
    <w:embedRegular r:id="rId3" w:fontKey="{81F8AF5C-28D7-443E-BA91-F8CECD29683E}"/>
  </w:font>
  <w:font w:name="方正仿宋_GBK">
    <w:panose1 w:val="03000509000000000000"/>
    <w:charset w:val="86"/>
    <w:family w:val="script"/>
    <w:pitch w:val="default"/>
    <w:sig w:usb0="00000001" w:usb1="080E0000" w:usb2="00000000" w:usb3="00000000" w:csb0="00040000" w:csb1="00000000"/>
    <w:embedRegular r:id="rId4" w:fontKey="{BF53B2D1-A624-4863-B490-82E1DB4E14DF}"/>
  </w:font>
  <w:font w:name="方正黑体_GBK">
    <w:panose1 w:val="03000509000000000000"/>
    <w:charset w:val="86"/>
    <w:family w:val="script"/>
    <w:pitch w:val="default"/>
    <w:sig w:usb0="00000001" w:usb1="080E0000" w:usb2="00000000" w:usb3="00000000" w:csb0="00040000" w:csb1="00000000"/>
    <w:embedRegular r:id="rId5" w:fontKey="{066571C0-1EE4-48EF-B01A-7FE2868D440E}"/>
  </w:font>
  <w:font w:name="华文黑体">
    <w:altName w:val="黑体"/>
    <w:panose1 w:val="00000000000000000000"/>
    <w:charset w:val="86"/>
    <w:family w:val="auto"/>
    <w:pitch w:val="default"/>
    <w:sig w:usb0="00000000" w:usb1="00000000" w:usb2="00020017" w:usb3="00000000" w:csb0="0016009F" w:csb1="00000000"/>
    <w:embedRegular r:id="rId6" w:fontKey="{D4A61808-512B-4C6C-B621-E7B31A93D4CF}"/>
  </w:font>
  <w:font w:name="方正仿宋简体">
    <w:altName w:val="微软雅黑"/>
    <w:panose1 w:val="00000000000000000000"/>
    <w:charset w:val="86"/>
    <w:family w:val="auto"/>
    <w:pitch w:val="default"/>
    <w:sig w:usb0="00000000" w:usb1="00000000" w:usb2="00000010" w:usb3="00000000" w:csb0="00040000" w:csb1="00000000"/>
    <w:embedRegular r:id="rId7" w:fontKey="{D7E9ED3E-3491-4B3E-ADCE-284E5CB18040}"/>
  </w:font>
  <w:font w:name="仿宋">
    <w:panose1 w:val="02010609060101010101"/>
    <w:charset w:val="86"/>
    <w:family w:val="modern"/>
    <w:pitch w:val="default"/>
    <w:sig w:usb0="800002BF" w:usb1="38CF7CFA" w:usb2="00000016" w:usb3="00000000" w:csb0="00040001" w:csb1="00000000"/>
    <w:embedRegular r:id="rId8" w:fontKey="{EBEDDC01-A871-4CAF-AAB0-F28039472D9D}"/>
  </w:font>
  <w:font w:name="楷体">
    <w:panose1 w:val="02010609060101010101"/>
    <w:charset w:val="86"/>
    <w:family w:val="modern"/>
    <w:pitch w:val="default"/>
    <w:sig w:usb0="800002BF" w:usb1="38CF7CFA" w:usb2="00000016" w:usb3="00000000" w:csb0="00040001" w:csb1="00000000"/>
    <w:embedRegular r:id="rId9" w:fontKey="{F16A6E23-90EC-4903-A53B-DA34AA08D7E1}"/>
  </w:font>
  <w:font w:name="Arial">
    <w:panose1 w:val="020B0604020202020204"/>
    <w:charset w:val="00"/>
    <w:family w:val="auto"/>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ascii="宋体"/>
        <w:sz w:val="24"/>
        <w:szCs w:val="24"/>
      </w:rPr>
    </w:pPr>
    <w:r>
      <w:rPr>
        <w:rStyle w:val="6"/>
        <w:rFonts w:ascii="宋体" w:hAnsi="宋体"/>
        <w:sz w:val="24"/>
        <w:szCs w:val="24"/>
      </w:rPr>
      <w:fldChar w:fldCharType="begin"/>
    </w:r>
    <w:r>
      <w:rPr>
        <w:rStyle w:val="6"/>
        <w:rFonts w:ascii="宋体" w:hAnsi="宋体"/>
        <w:sz w:val="24"/>
        <w:szCs w:val="24"/>
      </w:rPr>
      <w:instrText xml:space="preserve">PAGE  </w:instrText>
    </w:r>
    <w:r>
      <w:rPr>
        <w:rStyle w:val="6"/>
        <w:rFonts w:ascii="宋体" w:hAnsi="宋体"/>
        <w:sz w:val="24"/>
        <w:szCs w:val="24"/>
      </w:rPr>
      <w:fldChar w:fldCharType="separate"/>
    </w:r>
    <w:r>
      <w:rPr>
        <w:rStyle w:val="6"/>
        <w:rFonts w:ascii="宋体" w:hAnsi="宋体"/>
        <w:sz w:val="24"/>
        <w:szCs w:val="24"/>
      </w:rPr>
      <w:t>- 25 -</w:t>
    </w:r>
    <w:r>
      <w:rPr>
        <w:rStyle w:val="6"/>
        <w:rFonts w:ascii="宋体" w:hAnsi="宋体"/>
        <w:sz w:val="24"/>
        <w:szCs w:val="24"/>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8B6BA"/>
    <w:multiLevelType w:val="singleLevel"/>
    <w:tmpl w:val="5A98B6BA"/>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E95D93"/>
    <w:rsid w:val="00004A6F"/>
    <w:rsid w:val="0008175B"/>
    <w:rsid w:val="000A57AE"/>
    <w:rsid w:val="000D7B5C"/>
    <w:rsid w:val="00134DC5"/>
    <w:rsid w:val="00142030"/>
    <w:rsid w:val="00167F82"/>
    <w:rsid w:val="00187FDF"/>
    <w:rsid w:val="001A2332"/>
    <w:rsid w:val="001E21D3"/>
    <w:rsid w:val="001E32EB"/>
    <w:rsid w:val="00203B0F"/>
    <w:rsid w:val="00210D20"/>
    <w:rsid w:val="00297A46"/>
    <w:rsid w:val="00305ABE"/>
    <w:rsid w:val="00346B32"/>
    <w:rsid w:val="00414D03"/>
    <w:rsid w:val="00491F8A"/>
    <w:rsid w:val="004B3DA8"/>
    <w:rsid w:val="004C5A5E"/>
    <w:rsid w:val="004E06F3"/>
    <w:rsid w:val="00515739"/>
    <w:rsid w:val="005403C5"/>
    <w:rsid w:val="00541EE3"/>
    <w:rsid w:val="0055492F"/>
    <w:rsid w:val="0057159F"/>
    <w:rsid w:val="005935FE"/>
    <w:rsid w:val="005C61B4"/>
    <w:rsid w:val="006467F7"/>
    <w:rsid w:val="006A7688"/>
    <w:rsid w:val="006B3EC5"/>
    <w:rsid w:val="007B5DC5"/>
    <w:rsid w:val="007D5683"/>
    <w:rsid w:val="008207D9"/>
    <w:rsid w:val="008526D3"/>
    <w:rsid w:val="00871D96"/>
    <w:rsid w:val="00885C16"/>
    <w:rsid w:val="008954DF"/>
    <w:rsid w:val="008B4A7C"/>
    <w:rsid w:val="008F190C"/>
    <w:rsid w:val="0090389B"/>
    <w:rsid w:val="009441F3"/>
    <w:rsid w:val="00951B80"/>
    <w:rsid w:val="00980910"/>
    <w:rsid w:val="009B2E70"/>
    <w:rsid w:val="00A06849"/>
    <w:rsid w:val="00A11762"/>
    <w:rsid w:val="00A208DC"/>
    <w:rsid w:val="00A36305"/>
    <w:rsid w:val="00A811CC"/>
    <w:rsid w:val="00AA343D"/>
    <w:rsid w:val="00AB2C49"/>
    <w:rsid w:val="00AB4FAD"/>
    <w:rsid w:val="00AE4B38"/>
    <w:rsid w:val="00AF3BD6"/>
    <w:rsid w:val="00B37E63"/>
    <w:rsid w:val="00B621B3"/>
    <w:rsid w:val="00BC43E7"/>
    <w:rsid w:val="00C16BC2"/>
    <w:rsid w:val="00C3056C"/>
    <w:rsid w:val="00D34481"/>
    <w:rsid w:val="00D808F6"/>
    <w:rsid w:val="00D973C8"/>
    <w:rsid w:val="00DF66D6"/>
    <w:rsid w:val="00E219DD"/>
    <w:rsid w:val="00E3347F"/>
    <w:rsid w:val="00E35D7B"/>
    <w:rsid w:val="00E838DD"/>
    <w:rsid w:val="00E842BB"/>
    <w:rsid w:val="00ED6A30"/>
    <w:rsid w:val="00F0337B"/>
    <w:rsid w:val="00F1110A"/>
    <w:rsid w:val="00F178BA"/>
    <w:rsid w:val="00F212FD"/>
    <w:rsid w:val="00F4081C"/>
    <w:rsid w:val="00F75574"/>
    <w:rsid w:val="00FD0039"/>
    <w:rsid w:val="04B17441"/>
    <w:rsid w:val="04C20BE4"/>
    <w:rsid w:val="08DB6D77"/>
    <w:rsid w:val="0A3C4CF7"/>
    <w:rsid w:val="12180BBD"/>
    <w:rsid w:val="14733EB9"/>
    <w:rsid w:val="15863D5C"/>
    <w:rsid w:val="1F0A4E99"/>
    <w:rsid w:val="22675D1D"/>
    <w:rsid w:val="22B95B0C"/>
    <w:rsid w:val="2381061C"/>
    <w:rsid w:val="25DD26B5"/>
    <w:rsid w:val="27D649C8"/>
    <w:rsid w:val="285775D6"/>
    <w:rsid w:val="31551BDC"/>
    <w:rsid w:val="359E683A"/>
    <w:rsid w:val="3A2434F2"/>
    <w:rsid w:val="3B2376FD"/>
    <w:rsid w:val="40EC7BFC"/>
    <w:rsid w:val="410523AB"/>
    <w:rsid w:val="41A377EA"/>
    <w:rsid w:val="46855401"/>
    <w:rsid w:val="475466A4"/>
    <w:rsid w:val="47835663"/>
    <w:rsid w:val="496B35D7"/>
    <w:rsid w:val="4B6214CA"/>
    <w:rsid w:val="4B7B5642"/>
    <w:rsid w:val="4D303734"/>
    <w:rsid w:val="51E31065"/>
    <w:rsid w:val="54DC093C"/>
    <w:rsid w:val="58BF05AF"/>
    <w:rsid w:val="5CE95D93"/>
    <w:rsid w:val="60F1342B"/>
    <w:rsid w:val="63FF0BA5"/>
    <w:rsid w:val="64DD7066"/>
    <w:rsid w:val="66451518"/>
    <w:rsid w:val="67437F6C"/>
    <w:rsid w:val="6E300E7B"/>
    <w:rsid w:val="6EC76EEE"/>
    <w:rsid w:val="746B7A8B"/>
    <w:rsid w:val="7B695E7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99"/>
    <w:pPr>
      <w:keepNext/>
      <w:keepLines/>
      <w:spacing w:line="600" w:lineRule="exact"/>
      <w:ind w:firstLine="840" w:firstLineChars="200"/>
      <w:outlineLvl w:val="0"/>
    </w:pPr>
    <w:rPr>
      <w:rFonts w:eastAsia="黑体"/>
      <w:kern w:val="44"/>
      <w:sz w:val="32"/>
    </w:rPr>
  </w:style>
  <w:style w:type="character" w:default="1" w:styleId="5">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character" w:styleId="7">
    <w:name w:val="Hyperlink"/>
    <w:basedOn w:val="5"/>
    <w:unhideWhenUsed/>
    <w:qFormat/>
    <w:uiPriority w:val="99"/>
    <w:rPr>
      <w:color w:val="0000FF"/>
      <w:u w:val="single"/>
    </w:rPr>
  </w:style>
  <w:style w:type="character" w:customStyle="1" w:styleId="9">
    <w:name w:val="标题 1 Char"/>
    <w:basedOn w:val="5"/>
    <w:link w:val="2"/>
    <w:qFormat/>
    <w:locked/>
    <w:uiPriority w:val="99"/>
    <w:rPr>
      <w:rFonts w:ascii="Calibri" w:hAnsi="Calibri" w:cs="Times New Roman"/>
      <w:b/>
      <w:bCs/>
      <w:kern w:val="44"/>
      <w:sz w:val="44"/>
      <w:szCs w:val="44"/>
    </w:rPr>
  </w:style>
  <w:style w:type="character" w:customStyle="1" w:styleId="10">
    <w:name w:val="页脚 Char"/>
    <w:basedOn w:val="5"/>
    <w:link w:val="3"/>
    <w:semiHidden/>
    <w:qFormat/>
    <w:locked/>
    <w:uiPriority w:val="99"/>
    <w:rPr>
      <w:rFonts w:ascii="Calibri" w:hAnsi="Calibri" w:cs="Times New Roman"/>
      <w:sz w:val="18"/>
      <w:szCs w:val="18"/>
    </w:rPr>
  </w:style>
  <w:style w:type="character" w:customStyle="1" w:styleId="11">
    <w:name w:val="页眉 Char"/>
    <w:basedOn w:val="5"/>
    <w:link w:val="4"/>
    <w:semiHidden/>
    <w:qFormat/>
    <w:locked/>
    <w:uiPriority w:val="99"/>
    <w:rPr>
      <w:rFonts w:ascii="Calibri" w:hAnsi="Calibri" w:cs="Times New Roman"/>
      <w:sz w:val="18"/>
      <w:szCs w:val="18"/>
    </w:rPr>
  </w:style>
  <w:style w:type="paragraph" w:customStyle="1" w:styleId="1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列出段落1"/>
    <w:basedOn w:val="1"/>
    <w:qFormat/>
    <w:uiPriority w:val="0"/>
    <w:pPr>
      <w:ind w:firstLine="420" w:firstLineChars="200"/>
    </w:pPr>
    <w:rPr>
      <w:rFonts w:cs="黑体"/>
      <w:szCs w:val="21"/>
    </w:rPr>
  </w:style>
  <w:style w:type="paragraph" w:customStyle="1" w:styleId="14">
    <w:name w:val="列出段落2"/>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1763</Words>
  <Characters>10055</Characters>
  <Lines>83</Lines>
  <Paragraphs>23</Paragraphs>
  <ScaleCrop>false</ScaleCrop>
  <LinksUpToDate>false</LinksUpToDate>
  <CharactersWithSpaces>11795</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2018-04-09T06:37:00Z</dcterms:created>
  <dc:creator>柳卓君</dc:creator>
  <cp:lastModifiedBy>钟裕</cp:lastModifiedBy>
  <cp:lastPrinted>2018-03-07T08:58:00Z</cp:lastPrinted>
  <dcterms:modified xsi:type="dcterms:W3CDTF">2018-04-09T08:26:07Z</dcterms:modified>
  <dc:title>关于组织开展2016年“挑战杯•创青春”广东大学生创业大赛的通知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